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6A55" w14:textId="72E6E069" w:rsidR="006923E0" w:rsidRDefault="006923E0" w:rsidP="006923E0">
      <w:pPr>
        <w:rPr>
          <w:rFonts w:ascii="Avenir Next" w:hAnsi="Avenir Next"/>
          <w:b/>
          <w:bCs/>
          <w:sz w:val="20"/>
          <w:szCs w:val="20"/>
        </w:rPr>
      </w:pPr>
    </w:p>
    <w:p w14:paraId="6129E88F" w14:textId="5F6065C8" w:rsidR="006923E0" w:rsidRDefault="006923E0" w:rsidP="006923E0">
      <w:pPr>
        <w:rPr>
          <w:rFonts w:ascii="Avenir Next" w:hAnsi="Avenir Next"/>
          <w:b/>
          <w:bCs/>
          <w:sz w:val="20"/>
          <w:szCs w:val="20"/>
        </w:rPr>
      </w:pPr>
    </w:p>
    <w:p w14:paraId="603DFFB5" w14:textId="41832B1D" w:rsidR="006923E0" w:rsidRDefault="006923E0" w:rsidP="006923E0">
      <w:pPr>
        <w:rPr>
          <w:rFonts w:ascii="Avenir Next" w:hAnsi="Avenir Next"/>
          <w:b/>
          <w:bCs/>
          <w:sz w:val="20"/>
          <w:szCs w:val="20"/>
        </w:rPr>
      </w:pPr>
    </w:p>
    <w:p w14:paraId="00D3EAC5" w14:textId="1560E639" w:rsidR="006923E0" w:rsidRDefault="006923E0" w:rsidP="006923E0">
      <w:pPr>
        <w:rPr>
          <w:rFonts w:ascii="Avenir Next" w:hAnsi="Avenir Next"/>
          <w:b/>
          <w:bCs/>
          <w:sz w:val="20"/>
          <w:szCs w:val="20"/>
        </w:rPr>
      </w:pPr>
    </w:p>
    <w:p w14:paraId="6FA95387" w14:textId="50A2DC50" w:rsidR="006923E0" w:rsidRDefault="006923E0" w:rsidP="006923E0">
      <w:pPr>
        <w:rPr>
          <w:rFonts w:ascii="Avenir Next" w:hAnsi="Avenir Next"/>
          <w:b/>
          <w:bCs/>
          <w:sz w:val="20"/>
          <w:szCs w:val="20"/>
        </w:rPr>
      </w:pPr>
    </w:p>
    <w:p w14:paraId="7CA0252F" w14:textId="7C2DDD68" w:rsidR="006923E0" w:rsidRDefault="006923E0" w:rsidP="006923E0">
      <w:pPr>
        <w:rPr>
          <w:rFonts w:ascii="Avenir Next" w:hAnsi="Avenir Next"/>
          <w:b/>
          <w:bCs/>
          <w:sz w:val="20"/>
          <w:szCs w:val="20"/>
        </w:rPr>
      </w:pPr>
    </w:p>
    <w:p w14:paraId="1AEA234C" w14:textId="26775F5D" w:rsidR="006923E0" w:rsidRDefault="006923E0" w:rsidP="006923E0">
      <w:pPr>
        <w:rPr>
          <w:rFonts w:ascii="Avenir Next" w:hAnsi="Avenir Next"/>
          <w:b/>
          <w:bCs/>
          <w:sz w:val="20"/>
          <w:szCs w:val="20"/>
        </w:rPr>
      </w:pPr>
    </w:p>
    <w:p w14:paraId="2533E222" w14:textId="15F7092A" w:rsidR="006923E0" w:rsidRDefault="006923E0" w:rsidP="006923E0">
      <w:pPr>
        <w:rPr>
          <w:rFonts w:ascii="Avenir Next" w:hAnsi="Avenir Next"/>
          <w:b/>
          <w:bCs/>
          <w:sz w:val="20"/>
          <w:szCs w:val="20"/>
        </w:rPr>
      </w:pPr>
    </w:p>
    <w:p w14:paraId="3B386FB1" w14:textId="2A48BE08" w:rsidR="006923E0" w:rsidRDefault="006923E0" w:rsidP="006923E0">
      <w:pPr>
        <w:rPr>
          <w:rFonts w:ascii="Avenir Next" w:hAnsi="Avenir Next"/>
          <w:b/>
          <w:bCs/>
          <w:sz w:val="20"/>
          <w:szCs w:val="20"/>
        </w:rPr>
      </w:pPr>
    </w:p>
    <w:p w14:paraId="47DD008A" w14:textId="0E0CA8E1" w:rsidR="006923E0" w:rsidRDefault="006923E0" w:rsidP="006923E0">
      <w:pPr>
        <w:rPr>
          <w:rFonts w:ascii="Avenir Next" w:hAnsi="Avenir Next"/>
          <w:b/>
          <w:bCs/>
          <w:sz w:val="20"/>
          <w:szCs w:val="20"/>
        </w:rPr>
      </w:pPr>
    </w:p>
    <w:p w14:paraId="054874A2" w14:textId="5D871569" w:rsidR="006923E0" w:rsidRDefault="006923E0" w:rsidP="006923E0">
      <w:pPr>
        <w:rPr>
          <w:rFonts w:ascii="Avenir Next" w:hAnsi="Avenir Next"/>
          <w:b/>
          <w:bCs/>
          <w:sz w:val="20"/>
          <w:szCs w:val="20"/>
        </w:rPr>
      </w:pPr>
    </w:p>
    <w:p w14:paraId="256D3FB4" w14:textId="224D39AF" w:rsidR="006923E0" w:rsidRDefault="004E7974" w:rsidP="006923E0">
      <w:pPr>
        <w:rPr>
          <w:rFonts w:ascii="Avenir Next" w:hAnsi="Avenir Next"/>
          <w:b/>
          <w:bCs/>
          <w:sz w:val="20"/>
          <w:szCs w:val="20"/>
        </w:rPr>
      </w:pPr>
      <w:r>
        <w:rPr>
          <w:rFonts w:ascii="Avenir Next" w:hAnsi="Avenir Next"/>
          <w:b/>
          <w:bCs/>
          <w:noProof/>
          <w:sz w:val="20"/>
          <w:szCs w:val="20"/>
        </w:rPr>
        <w:drawing>
          <wp:anchor distT="0" distB="0" distL="114300" distR="114300" simplePos="0" relativeHeight="251660288" behindDoc="0" locked="0" layoutInCell="1" allowOverlap="1" wp14:anchorId="13534249" wp14:editId="5CE25502">
            <wp:simplePos x="0" y="0"/>
            <wp:positionH relativeFrom="margin">
              <wp:posOffset>2374900</wp:posOffset>
            </wp:positionH>
            <wp:positionV relativeFrom="margin">
              <wp:posOffset>2012458</wp:posOffset>
            </wp:positionV>
            <wp:extent cx="2108200" cy="621665"/>
            <wp:effectExtent l="0" t="0" r="0" b="635"/>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621665"/>
                    </a:xfrm>
                    <a:prstGeom prst="rect">
                      <a:avLst/>
                    </a:prstGeom>
                  </pic:spPr>
                </pic:pic>
              </a:graphicData>
            </a:graphic>
            <wp14:sizeRelH relativeFrom="page">
              <wp14:pctWidth>0</wp14:pctWidth>
            </wp14:sizeRelH>
            <wp14:sizeRelV relativeFrom="page">
              <wp14:pctHeight>0</wp14:pctHeight>
            </wp14:sizeRelV>
          </wp:anchor>
        </w:drawing>
      </w:r>
    </w:p>
    <w:p w14:paraId="6CE989F3" w14:textId="77777777" w:rsidR="006923E0" w:rsidRDefault="006923E0" w:rsidP="006923E0">
      <w:pPr>
        <w:rPr>
          <w:rFonts w:ascii="Avenir Next" w:hAnsi="Avenir Next"/>
          <w:b/>
          <w:bCs/>
          <w:sz w:val="20"/>
          <w:szCs w:val="20"/>
        </w:rPr>
      </w:pPr>
    </w:p>
    <w:p w14:paraId="7295FE5D" w14:textId="77777777" w:rsidR="006923E0" w:rsidRDefault="006923E0" w:rsidP="006923E0">
      <w:pPr>
        <w:rPr>
          <w:rFonts w:ascii="Avenir Next" w:hAnsi="Avenir Next"/>
          <w:b/>
          <w:bCs/>
          <w:sz w:val="20"/>
          <w:szCs w:val="20"/>
        </w:rPr>
      </w:pPr>
    </w:p>
    <w:p w14:paraId="28CBA7BA" w14:textId="77777777" w:rsidR="006923E0" w:rsidRDefault="006923E0" w:rsidP="006923E0">
      <w:pPr>
        <w:rPr>
          <w:rFonts w:ascii="Avenir Next" w:hAnsi="Avenir Next"/>
          <w:b/>
          <w:bCs/>
          <w:sz w:val="20"/>
          <w:szCs w:val="20"/>
        </w:rPr>
      </w:pPr>
    </w:p>
    <w:p w14:paraId="13FE50AD" w14:textId="77777777" w:rsidR="006923E0" w:rsidRDefault="006923E0" w:rsidP="006923E0">
      <w:pPr>
        <w:rPr>
          <w:rFonts w:ascii="Avenir Next" w:hAnsi="Avenir Next"/>
          <w:b/>
          <w:bCs/>
          <w:sz w:val="20"/>
          <w:szCs w:val="20"/>
        </w:rPr>
      </w:pPr>
    </w:p>
    <w:p w14:paraId="58BDA4E4" w14:textId="77777777" w:rsidR="006923E0" w:rsidRDefault="006923E0" w:rsidP="006923E0">
      <w:pPr>
        <w:rPr>
          <w:rFonts w:ascii="Avenir Next" w:hAnsi="Avenir Next"/>
          <w:b/>
          <w:bCs/>
          <w:sz w:val="20"/>
          <w:szCs w:val="20"/>
        </w:rPr>
      </w:pPr>
    </w:p>
    <w:p w14:paraId="54B82F33" w14:textId="2B156862" w:rsidR="004E7974" w:rsidRDefault="006923E0" w:rsidP="006923E0">
      <w:pPr>
        <w:jc w:val="center"/>
        <w:rPr>
          <w:rFonts w:ascii="Avenir Next" w:hAnsi="Avenir Next"/>
          <w:sz w:val="36"/>
          <w:szCs w:val="36"/>
        </w:rPr>
      </w:pPr>
      <w:r w:rsidRPr="006923E0">
        <w:rPr>
          <w:rFonts w:ascii="Avenir Next" w:hAnsi="Avenir Next"/>
          <w:b/>
          <w:bCs/>
          <w:sz w:val="56"/>
          <w:szCs w:val="56"/>
        </w:rPr>
        <w:t>LEARNING DESIGN REFLECTIONS</w:t>
      </w:r>
      <w:r w:rsidRPr="006923E0">
        <w:rPr>
          <w:rFonts w:ascii="Avenir Next" w:hAnsi="Avenir Next"/>
          <w:sz w:val="56"/>
          <w:szCs w:val="56"/>
        </w:rPr>
        <w:t xml:space="preserve"> </w:t>
      </w:r>
      <w:r w:rsidRPr="006923E0">
        <w:rPr>
          <w:rFonts w:ascii="Avenir Next" w:hAnsi="Avenir Next"/>
          <w:sz w:val="40"/>
          <w:szCs w:val="40"/>
        </w:rPr>
        <w:br/>
      </w:r>
      <w:r w:rsidR="004E7974" w:rsidRPr="004E7974">
        <w:rPr>
          <w:rFonts w:ascii="Avenir Next" w:hAnsi="Avenir Next"/>
          <w:sz w:val="21"/>
          <w:szCs w:val="21"/>
        </w:rPr>
        <w:t>EQUITY, DIVERSITY, &amp; INCLUSION | UNIVERSAL DESIGN FOR LEARNING | TEACHING AND LEARNING ONLINE</w:t>
      </w:r>
    </w:p>
    <w:p w14:paraId="0DD84615" w14:textId="77777777" w:rsidR="004E7974" w:rsidRDefault="004E7974" w:rsidP="006923E0">
      <w:pPr>
        <w:jc w:val="center"/>
        <w:rPr>
          <w:rFonts w:ascii="Avenir Next" w:hAnsi="Avenir Next"/>
          <w:sz w:val="36"/>
          <w:szCs w:val="36"/>
        </w:rPr>
      </w:pPr>
    </w:p>
    <w:p w14:paraId="1744F7CB" w14:textId="77777777" w:rsidR="006923E0" w:rsidRDefault="006923E0" w:rsidP="006923E0">
      <w:pPr>
        <w:rPr>
          <w:rFonts w:ascii="Avenir Next" w:hAnsi="Avenir Next"/>
          <w:b/>
          <w:bCs/>
          <w:sz w:val="18"/>
          <w:szCs w:val="18"/>
        </w:rPr>
      </w:pPr>
    </w:p>
    <w:p w14:paraId="3838B83B" w14:textId="5384B926" w:rsidR="006923E0" w:rsidRPr="006923E0" w:rsidRDefault="00BD7AA5" w:rsidP="004E7974">
      <w:pPr>
        <w:snapToGrid w:val="0"/>
        <w:spacing w:before="80" w:after="80"/>
        <w:jc w:val="center"/>
        <w:rPr>
          <w:rFonts w:ascii="Avenir Next" w:hAnsi="Avenir Next"/>
        </w:rPr>
      </w:pPr>
      <w:r>
        <w:rPr>
          <w:rFonts w:ascii="Avenir Next" w:hAnsi="Avenir Next"/>
          <w:b/>
          <w:bCs/>
        </w:rPr>
        <w:t>CATEGORY OF CONSIDERATIONS IN FOCUS:</w:t>
      </w:r>
    </w:p>
    <w:p w14:paraId="75C8ECF5" w14:textId="77777777" w:rsidR="0020198F" w:rsidRDefault="0020198F" w:rsidP="0020198F">
      <w:pPr>
        <w:snapToGrid w:val="0"/>
        <w:spacing w:before="80" w:after="80"/>
        <w:jc w:val="center"/>
        <w:rPr>
          <w:rFonts w:ascii="Avenir Next" w:hAnsi="Avenir Next" w:cstheme="majorHAnsi"/>
          <w:sz w:val="20"/>
          <w:szCs w:val="20"/>
        </w:rPr>
      </w:pPr>
      <w:r>
        <w:rPr>
          <w:rFonts w:ascii="Avenir Next" w:hAnsi="Avenir Next" w:cstheme="majorHAnsi"/>
          <w:sz w:val="20"/>
          <w:szCs w:val="20"/>
        </w:rPr>
        <w:t>FACILITATING ACADEMIC ENGAGEMENT</w:t>
      </w:r>
    </w:p>
    <w:p w14:paraId="3ABE662E" w14:textId="77777777" w:rsidR="006923E0" w:rsidRPr="00BD7AA5" w:rsidRDefault="006923E0" w:rsidP="004E7974">
      <w:pPr>
        <w:snapToGrid w:val="0"/>
        <w:spacing w:before="80" w:after="80"/>
        <w:jc w:val="center"/>
        <w:rPr>
          <w:rFonts w:ascii="Avenir Next" w:hAnsi="Avenir Next" w:cstheme="majorHAnsi"/>
        </w:rPr>
      </w:pPr>
    </w:p>
    <w:p w14:paraId="2B288511" w14:textId="77777777" w:rsidR="006923E0" w:rsidRDefault="006923E0" w:rsidP="004E7974">
      <w:pPr>
        <w:snapToGrid w:val="0"/>
        <w:spacing w:before="80" w:after="80"/>
        <w:jc w:val="center"/>
        <w:rPr>
          <w:rFonts w:ascii="Avenir Next" w:hAnsi="Avenir Next" w:cstheme="majorHAnsi"/>
          <w:b/>
          <w:bCs/>
          <w:sz w:val="20"/>
          <w:szCs w:val="20"/>
        </w:rPr>
      </w:pPr>
    </w:p>
    <w:p w14:paraId="3FC831C4" w14:textId="77777777" w:rsidR="006923E0" w:rsidRDefault="006923E0" w:rsidP="004E7974">
      <w:pPr>
        <w:snapToGrid w:val="0"/>
        <w:spacing w:before="80" w:after="80"/>
        <w:jc w:val="center"/>
        <w:rPr>
          <w:rFonts w:ascii="Avenir Next" w:hAnsi="Avenir Next" w:cstheme="majorHAnsi"/>
          <w:b/>
          <w:bCs/>
          <w:sz w:val="20"/>
          <w:szCs w:val="20"/>
        </w:rPr>
      </w:pPr>
    </w:p>
    <w:p w14:paraId="2B3CBC6E" w14:textId="77777777" w:rsidR="006923E0" w:rsidRDefault="006923E0" w:rsidP="004E7974">
      <w:pPr>
        <w:snapToGrid w:val="0"/>
        <w:spacing w:before="80" w:after="80"/>
        <w:jc w:val="center"/>
        <w:rPr>
          <w:rFonts w:ascii="Avenir Next" w:hAnsi="Avenir Next" w:cstheme="majorHAnsi"/>
          <w:b/>
          <w:bCs/>
          <w:sz w:val="20"/>
          <w:szCs w:val="20"/>
        </w:rPr>
      </w:pPr>
    </w:p>
    <w:p w14:paraId="1169A0AD" w14:textId="7E29F8DA"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b/>
          <w:bCs/>
          <w:sz w:val="20"/>
          <w:szCs w:val="20"/>
        </w:rPr>
        <w:t>SEE ALSO:</w:t>
      </w:r>
    </w:p>
    <w:p w14:paraId="1C45BB61"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ACCESSIBILITY</w:t>
      </w:r>
    </w:p>
    <w:p w14:paraId="3A324A5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COMMUNITY BUILDING and COLLABORATION</w:t>
      </w:r>
    </w:p>
    <w:p w14:paraId="365B8842"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REPRESENTATION</w:t>
      </w:r>
    </w:p>
    <w:p w14:paraId="708727D6"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APPROACHES</w:t>
      </w:r>
    </w:p>
    <w:p w14:paraId="6438B618"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 TO THE INSTRUCTOR</w:t>
      </w:r>
    </w:p>
    <w:p w14:paraId="2FECFE41" w14:textId="20780A88" w:rsidR="006923E0" w:rsidRPr="006923E0" w:rsidRDefault="006923E0" w:rsidP="006923E0">
      <w:pPr>
        <w:rPr>
          <w:rFonts w:ascii="Avenir Next" w:hAnsi="Avenir Next"/>
          <w:sz w:val="20"/>
          <w:szCs w:val="20"/>
        </w:rPr>
      </w:pPr>
      <w:r>
        <w:rPr>
          <w:rFonts w:ascii="Avenir Next" w:hAnsi="Avenir Next" w:cstheme="majorHAnsi"/>
          <w:sz w:val="20"/>
          <w:szCs w:val="20"/>
        </w:rPr>
        <w:br w:type="page"/>
      </w:r>
    </w:p>
    <w:p w14:paraId="771902F8" w14:textId="77777777" w:rsidR="006923E0" w:rsidRDefault="006923E0" w:rsidP="006923E0">
      <w:pPr>
        <w:rPr>
          <w:rFonts w:ascii="Avenir Next" w:hAnsi="Avenir Next" w:cstheme="majorHAnsi"/>
          <w:sz w:val="20"/>
          <w:szCs w:val="20"/>
        </w:rPr>
      </w:pPr>
    </w:p>
    <w:p w14:paraId="659038D4" w14:textId="77777777" w:rsidR="006923E0" w:rsidRDefault="006923E0" w:rsidP="006923E0">
      <w:pPr>
        <w:rPr>
          <w:rFonts w:ascii="Avenir Next" w:hAnsi="Avenir Next" w:cstheme="majorHAnsi"/>
          <w:sz w:val="20"/>
          <w:szCs w:val="20"/>
        </w:rPr>
      </w:pPr>
    </w:p>
    <w:p w14:paraId="1E30AA45" w14:textId="77777777" w:rsidR="006923E0" w:rsidRDefault="006923E0" w:rsidP="006923E0">
      <w:pPr>
        <w:rPr>
          <w:rFonts w:ascii="Avenir Next" w:hAnsi="Avenir Next" w:cstheme="majorHAnsi"/>
          <w:sz w:val="20"/>
          <w:szCs w:val="20"/>
        </w:rPr>
      </w:pPr>
    </w:p>
    <w:p w14:paraId="579F4C0D" w14:textId="77777777" w:rsidR="006923E0" w:rsidRDefault="006923E0" w:rsidP="006923E0">
      <w:pPr>
        <w:rPr>
          <w:rFonts w:ascii="Avenir Next" w:hAnsi="Avenir Next" w:cstheme="majorHAnsi"/>
          <w:sz w:val="20"/>
          <w:szCs w:val="20"/>
        </w:rPr>
      </w:pPr>
    </w:p>
    <w:p w14:paraId="408864FD" w14:textId="77777777" w:rsidR="006923E0" w:rsidRDefault="006923E0" w:rsidP="006923E0">
      <w:pPr>
        <w:rPr>
          <w:rFonts w:ascii="Avenir Next" w:hAnsi="Avenir Next" w:cstheme="majorHAnsi"/>
          <w:sz w:val="20"/>
          <w:szCs w:val="20"/>
        </w:rPr>
      </w:pPr>
    </w:p>
    <w:p w14:paraId="7E1816B0" w14:textId="77777777" w:rsidR="006923E0" w:rsidRDefault="006923E0" w:rsidP="006923E0">
      <w:pPr>
        <w:rPr>
          <w:rFonts w:ascii="Avenir Next" w:hAnsi="Avenir Next" w:cstheme="majorHAnsi"/>
          <w:sz w:val="20"/>
          <w:szCs w:val="20"/>
        </w:rPr>
      </w:pPr>
    </w:p>
    <w:p w14:paraId="7314BF44" w14:textId="77777777" w:rsidR="004E181B" w:rsidRDefault="004E181B" w:rsidP="004E181B">
      <w:pPr>
        <w:autoSpaceDE w:val="0"/>
        <w:autoSpaceDN w:val="0"/>
        <w:adjustRightInd w:val="0"/>
        <w:rPr>
          <w:rFonts w:ascii="Avenir Next" w:eastAsiaTheme="minorHAnsi" w:hAnsi="Avenir Next" w:cs="AppleSystemUIFontBold"/>
          <w:b/>
          <w:bCs/>
          <w:sz w:val="20"/>
          <w:szCs w:val="18"/>
          <w:lang w:val="en-US"/>
        </w:rPr>
      </w:pPr>
    </w:p>
    <w:p w14:paraId="10E39ECA" w14:textId="77777777" w:rsidR="004E181B" w:rsidRDefault="004E181B" w:rsidP="004E181B">
      <w:pPr>
        <w:autoSpaceDE w:val="0"/>
        <w:autoSpaceDN w:val="0"/>
        <w:adjustRightInd w:val="0"/>
        <w:rPr>
          <w:rFonts w:ascii="Avenir Next" w:eastAsiaTheme="minorHAnsi" w:hAnsi="Avenir Next" w:cs="AppleSystemUIFontBold"/>
          <w:b/>
          <w:bCs/>
          <w:sz w:val="20"/>
          <w:szCs w:val="18"/>
          <w:lang w:val="en-US"/>
        </w:rPr>
      </w:pPr>
    </w:p>
    <w:p w14:paraId="09870027" w14:textId="77777777" w:rsidR="004E181B" w:rsidRDefault="004E181B" w:rsidP="004E181B">
      <w:pPr>
        <w:autoSpaceDE w:val="0"/>
        <w:autoSpaceDN w:val="0"/>
        <w:adjustRightInd w:val="0"/>
        <w:rPr>
          <w:rFonts w:ascii="Avenir Next" w:eastAsiaTheme="minorHAnsi" w:hAnsi="Avenir Next" w:cs="AppleSystemUIFontBold"/>
          <w:b/>
          <w:bCs/>
          <w:sz w:val="20"/>
          <w:szCs w:val="18"/>
          <w:lang w:val="en-US"/>
        </w:rPr>
      </w:pPr>
    </w:p>
    <w:p w14:paraId="5601DBF1" w14:textId="77777777" w:rsidR="004E181B" w:rsidRDefault="004E181B" w:rsidP="004E181B">
      <w:pPr>
        <w:autoSpaceDE w:val="0"/>
        <w:autoSpaceDN w:val="0"/>
        <w:adjustRightInd w:val="0"/>
        <w:rPr>
          <w:rFonts w:ascii="Avenir Next" w:eastAsiaTheme="minorHAnsi" w:hAnsi="Avenir Next" w:cs="AppleSystemUIFontBold"/>
          <w:b/>
          <w:bCs/>
          <w:sz w:val="20"/>
          <w:szCs w:val="18"/>
          <w:lang w:val="en-US"/>
        </w:rPr>
      </w:pPr>
    </w:p>
    <w:p w14:paraId="0DE6E2A8" w14:textId="77777777" w:rsidR="004E181B" w:rsidRDefault="004E181B" w:rsidP="004E181B">
      <w:pPr>
        <w:autoSpaceDE w:val="0"/>
        <w:autoSpaceDN w:val="0"/>
        <w:adjustRightInd w:val="0"/>
        <w:rPr>
          <w:rFonts w:ascii="Avenir Next" w:eastAsiaTheme="minorHAnsi" w:hAnsi="Avenir Next" w:cs="AppleSystemUIFontBold"/>
          <w:b/>
          <w:bCs/>
          <w:sz w:val="20"/>
          <w:szCs w:val="18"/>
          <w:lang w:val="en-US"/>
        </w:rPr>
      </w:pPr>
    </w:p>
    <w:p w14:paraId="263923E8" w14:textId="205F9514" w:rsidR="004E181B" w:rsidRPr="00FB7E07" w:rsidRDefault="004E181B" w:rsidP="004E181B">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Have you wondered about whether the learning activities and assessments you have designed are accessible, inclusive, and equitable? Have you contemplated how these approaches might be taken up in an online teaching and learning environment? Could your existing practices benefit from being explored through different lenses?</w:t>
      </w:r>
    </w:p>
    <w:p w14:paraId="79235112" w14:textId="77777777" w:rsidR="004E181B" w:rsidRPr="00FB7E07" w:rsidRDefault="004E181B" w:rsidP="004E181B">
      <w:pPr>
        <w:autoSpaceDE w:val="0"/>
        <w:autoSpaceDN w:val="0"/>
        <w:adjustRightInd w:val="0"/>
        <w:rPr>
          <w:rFonts w:ascii="Avenir Next" w:eastAsiaTheme="minorHAnsi" w:hAnsi="Avenir Next" w:cs="AppleSystemUIFont"/>
          <w:sz w:val="20"/>
          <w:szCs w:val="18"/>
          <w:lang w:val="en-US"/>
        </w:rPr>
      </w:pPr>
    </w:p>
    <w:p w14:paraId="5AEA1EEA" w14:textId="77777777" w:rsidR="004E181B" w:rsidRPr="00FB7E07" w:rsidRDefault="004E181B" w:rsidP="004E181B">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tool was designed for you.</w:t>
      </w:r>
    </w:p>
    <w:p w14:paraId="62B0EF1E" w14:textId="77777777" w:rsidR="004E181B" w:rsidRPr="00FB7E07" w:rsidRDefault="004E181B" w:rsidP="004E181B">
      <w:pPr>
        <w:autoSpaceDE w:val="0"/>
        <w:autoSpaceDN w:val="0"/>
        <w:adjustRightInd w:val="0"/>
        <w:rPr>
          <w:rFonts w:ascii="Avenir Next" w:eastAsiaTheme="minorHAnsi" w:hAnsi="Avenir Next" w:cs="AppleSystemUIFont"/>
          <w:sz w:val="20"/>
          <w:szCs w:val="18"/>
          <w:lang w:val="en-US"/>
        </w:rPr>
      </w:pPr>
    </w:p>
    <w:p w14:paraId="38D23242" w14:textId="77777777" w:rsidR="004E181B" w:rsidRPr="00FB7E07" w:rsidRDefault="004E181B" w:rsidP="004E181B">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is a tool that poses reflective questions and offers relevant resources inviting you to think about how to design face-to-face and online approaches to learning that are meaningfully accessible, diverse, equitable, and inclusive.</w:t>
      </w:r>
    </w:p>
    <w:p w14:paraId="72DED814" w14:textId="77777777" w:rsidR="004E181B" w:rsidRPr="00FB7E07" w:rsidRDefault="004E181B" w:rsidP="004E181B">
      <w:pPr>
        <w:autoSpaceDE w:val="0"/>
        <w:autoSpaceDN w:val="0"/>
        <w:adjustRightInd w:val="0"/>
        <w:rPr>
          <w:rFonts w:ascii="Avenir Next" w:eastAsiaTheme="minorHAnsi" w:hAnsi="Avenir Next" w:cs="AppleSystemUIFontBold"/>
          <w:b/>
          <w:bCs/>
          <w:sz w:val="20"/>
          <w:szCs w:val="18"/>
          <w:lang w:val="en-US"/>
        </w:rPr>
      </w:pPr>
    </w:p>
    <w:p w14:paraId="6A1469C1" w14:textId="77777777" w:rsidR="004E181B" w:rsidRPr="00FB7E07" w:rsidRDefault="004E181B" w:rsidP="004E181B">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Bringing together considerations informed by equity, diversity, and inclusion (EDI), the Universal Design for Learning (UDL) educational framework, and best practices in teaching and learning online, this tool offers a nexus of considerations intended to help strengthen and enrich teaching and learning ideas, practices, and approaches at the University of Calgary. </w:t>
      </w:r>
    </w:p>
    <w:p w14:paraId="2C29FFEF" w14:textId="77777777" w:rsidR="004E181B" w:rsidRPr="00FB7E07" w:rsidRDefault="004E181B" w:rsidP="004E181B">
      <w:pPr>
        <w:autoSpaceDE w:val="0"/>
        <w:autoSpaceDN w:val="0"/>
        <w:adjustRightInd w:val="0"/>
        <w:rPr>
          <w:rFonts w:ascii="Avenir Next" w:eastAsiaTheme="minorHAnsi" w:hAnsi="Avenir Next" w:cs="AppleSystemUIFont"/>
          <w:sz w:val="20"/>
          <w:szCs w:val="18"/>
          <w:lang w:val="en-US"/>
        </w:rPr>
      </w:pPr>
    </w:p>
    <w:p w14:paraId="624C4019" w14:textId="77777777" w:rsidR="004E181B" w:rsidRPr="00FB7E07" w:rsidRDefault="004E181B" w:rsidP="004E181B">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There are six broad areas of consideration, organized into subcategories to facilitate targeted navigation. Each area offers questions intended to invite reflection about some aspect of learning design. Embedded throughout these considerations are over 50 links to related resources, included to help facilitate informed responses to self-observed deficits. </w:t>
      </w:r>
    </w:p>
    <w:p w14:paraId="2243FBD7" w14:textId="77777777" w:rsidR="004E181B" w:rsidRPr="00FB7E07" w:rsidRDefault="004E181B" w:rsidP="004E181B">
      <w:pPr>
        <w:autoSpaceDE w:val="0"/>
        <w:autoSpaceDN w:val="0"/>
        <w:adjustRightInd w:val="0"/>
        <w:rPr>
          <w:rFonts w:ascii="Avenir Next" w:eastAsiaTheme="minorHAnsi" w:hAnsi="Avenir Next" w:cs="AppleSystemUIFont"/>
          <w:sz w:val="15"/>
          <w:szCs w:val="12"/>
          <w:lang w:val="en-US"/>
        </w:rPr>
      </w:pPr>
    </w:p>
    <w:p w14:paraId="05826836" w14:textId="2A476553" w:rsidR="006923E0" w:rsidRPr="004E181B" w:rsidRDefault="004E181B" w:rsidP="004E181B">
      <w:pPr>
        <w:autoSpaceDE w:val="0"/>
        <w:autoSpaceDN w:val="0"/>
        <w:adjustRightInd w:val="0"/>
        <w:rPr>
          <w:rFonts w:ascii="Avenir Next" w:eastAsiaTheme="minorHAnsi" w:hAnsi="Avenir Next" w:cs="AppleSystemUIFont"/>
          <w:sz w:val="20"/>
          <w:szCs w:val="18"/>
          <w:lang w:val="en-US"/>
        </w:rPr>
      </w:pPr>
      <w:r w:rsidRPr="00B73B5C">
        <w:rPr>
          <w:rFonts w:ascii="Avenir Next" w:eastAsiaTheme="minorHAnsi" w:hAnsi="Avenir Next" w:cs="AppleSystemUIFont"/>
          <w:sz w:val="20"/>
          <w:szCs w:val="18"/>
          <w:lang w:val="en-US"/>
        </w:rPr>
        <w:t>These reflective questions and the embedded resources are downloadable by section</w:t>
      </w:r>
      <w:r>
        <w:rPr>
          <w:rFonts w:ascii="Avenir Next" w:eastAsiaTheme="minorHAnsi" w:hAnsi="Avenir Next" w:cs="AppleSystemUIFont"/>
          <w:sz w:val="20"/>
          <w:szCs w:val="18"/>
          <w:lang w:val="en-US"/>
        </w:rPr>
        <w:t>, one of which is captured here</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w:t>
      </w:r>
      <w:r w:rsidRPr="00B73B5C">
        <w:rPr>
          <w:rFonts w:ascii="Avenir Next" w:eastAsiaTheme="minorHAnsi" w:hAnsi="Avenir Next" w:cs="AppleSystemUIFont"/>
          <w:sz w:val="20"/>
          <w:szCs w:val="18"/>
          <w:lang w:val="en-US"/>
        </w:rPr>
        <w:t xml:space="preserve">The references that helped inform these questions </w:t>
      </w:r>
      <w:r>
        <w:rPr>
          <w:rFonts w:ascii="Avenir Next" w:eastAsiaTheme="minorHAnsi" w:hAnsi="Avenir Next" w:cs="AppleSystemUIFont"/>
          <w:sz w:val="20"/>
          <w:szCs w:val="18"/>
          <w:lang w:val="en-US"/>
        </w:rPr>
        <w:t>are included</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A full list of resources is available as a separate downloadable document. </w:t>
      </w:r>
      <w:r w:rsidR="006923E0">
        <w:rPr>
          <w:rFonts w:ascii="Avenir Next" w:hAnsi="Avenir Next" w:cstheme="majorHAnsi"/>
          <w:sz w:val="20"/>
          <w:szCs w:val="20"/>
        </w:rPr>
        <w:br w:type="page"/>
      </w:r>
    </w:p>
    <w:tbl>
      <w:tblPr>
        <w:tblStyle w:val="TableGrid"/>
        <w:tblW w:w="10768" w:type="dxa"/>
        <w:tblLayout w:type="fixed"/>
        <w:tblLook w:val="04A0" w:firstRow="1" w:lastRow="0" w:firstColumn="1" w:lastColumn="0" w:noHBand="0" w:noVBand="1"/>
      </w:tblPr>
      <w:tblGrid>
        <w:gridCol w:w="1795"/>
        <w:gridCol w:w="4154"/>
        <w:gridCol w:w="708"/>
        <w:gridCol w:w="709"/>
        <w:gridCol w:w="709"/>
        <w:gridCol w:w="2693"/>
      </w:tblGrid>
      <w:tr w:rsidR="0020198F" w:rsidRPr="000A7819" w14:paraId="1F05034F" w14:textId="77777777" w:rsidTr="00EA34EE">
        <w:trPr>
          <w:tblHeader/>
        </w:trPr>
        <w:tc>
          <w:tcPr>
            <w:tcW w:w="5949" w:type="dxa"/>
            <w:gridSpan w:val="2"/>
            <w:shd w:val="clear" w:color="auto" w:fill="E7E6E6" w:themeFill="background2"/>
            <w:vAlign w:val="center"/>
          </w:tcPr>
          <w:p w14:paraId="2CC5B723" w14:textId="77777777" w:rsidR="0020198F" w:rsidRPr="000A7819" w:rsidRDefault="0020198F" w:rsidP="00EA34EE">
            <w:pPr>
              <w:snapToGrid w:val="0"/>
              <w:spacing w:before="60" w:after="60"/>
              <w:rPr>
                <w:rFonts w:ascii="Avenir Next" w:hAnsi="Avenir Next" w:cs="Calibri Light"/>
                <w:b/>
                <w:bCs/>
                <w:color w:val="000000"/>
                <w:sz w:val="20"/>
                <w:szCs w:val="20"/>
              </w:rPr>
            </w:pPr>
            <w:r w:rsidRPr="000A7819">
              <w:rPr>
                <w:rFonts w:ascii="Avenir Next" w:hAnsi="Avenir Next"/>
                <w:b/>
                <w:bCs/>
                <w:sz w:val="20"/>
                <w:szCs w:val="20"/>
              </w:rPr>
              <w:lastRenderedPageBreak/>
              <w:t>FACILITATING ACADEMIC ENGAGEMENT</w:t>
            </w:r>
          </w:p>
        </w:tc>
        <w:tc>
          <w:tcPr>
            <w:tcW w:w="708" w:type="dxa"/>
            <w:shd w:val="clear" w:color="auto" w:fill="E7E6E6" w:themeFill="background2"/>
            <w:vAlign w:val="center"/>
          </w:tcPr>
          <w:p w14:paraId="380F84DE"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b/>
                <w:bCs/>
                <w:sz w:val="20"/>
                <w:szCs w:val="20"/>
              </w:rPr>
              <w:t>YES</w:t>
            </w:r>
          </w:p>
        </w:tc>
        <w:tc>
          <w:tcPr>
            <w:tcW w:w="709" w:type="dxa"/>
            <w:shd w:val="clear" w:color="auto" w:fill="E7E6E6" w:themeFill="background2"/>
            <w:vAlign w:val="center"/>
          </w:tcPr>
          <w:p w14:paraId="4669199B"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b/>
                <w:bCs/>
                <w:sz w:val="20"/>
                <w:szCs w:val="20"/>
              </w:rPr>
              <w:t>NO</w:t>
            </w:r>
          </w:p>
        </w:tc>
        <w:tc>
          <w:tcPr>
            <w:tcW w:w="709" w:type="dxa"/>
            <w:shd w:val="clear" w:color="auto" w:fill="E7E6E6" w:themeFill="background2"/>
            <w:vAlign w:val="center"/>
          </w:tcPr>
          <w:p w14:paraId="49082ACC"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b/>
                <w:bCs/>
                <w:sz w:val="15"/>
                <w:szCs w:val="15"/>
              </w:rPr>
              <w:t>I will revisit this</w:t>
            </w:r>
          </w:p>
        </w:tc>
        <w:tc>
          <w:tcPr>
            <w:tcW w:w="2693" w:type="dxa"/>
            <w:shd w:val="clear" w:color="auto" w:fill="E7E6E6" w:themeFill="background2"/>
            <w:vAlign w:val="center"/>
          </w:tcPr>
          <w:p w14:paraId="595EA5A1"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b/>
                <w:bCs/>
                <w:sz w:val="20"/>
                <w:szCs w:val="20"/>
              </w:rPr>
              <w:t>NOTES</w:t>
            </w:r>
          </w:p>
        </w:tc>
      </w:tr>
      <w:tr w:rsidR="0020198F" w:rsidRPr="000A7819" w14:paraId="0A641E76" w14:textId="77777777" w:rsidTr="00EA34EE">
        <w:tc>
          <w:tcPr>
            <w:tcW w:w="1795" w:type="dxa"/>
            <w:vMerge w:val="restart"/>
            <w:shd w:val="clear" w:color="auto" w:fill="E7E6E6" w:themeFill="background2"/>
          </w:tcPr>
          <w:p w14:paraId="1E5C9DCE" w14:textId="77777777" w:rsidR="0020198F" w:rsidRPr="000A7819" w:rsidRDefault="0020198F"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b/>
                <w:bCs/>
                <w:color w:val="000000"/>
                <w:sz w:val="20"/>
                <w:szCs w:val="20"/>
              </w:rPr>
              <w:t>Clear Course Structure</w:t>
            </w:r>
          </w:p>
          <w:p w14:paraId="621EB2D6" w14:textId="77777777" w:rsidR="0020198F" w:rsidRPr="000A7819" w:rsidRDefault="0020198F" w:rsidP="00EA34EE">
            <w:pPr>
              <w:snapToGrid w:val="0"/>
              <w:spacing w:before="60" w:after="60"/>
              <w:rPr>
                <w:rFonts w:ascii="Avenir Next" w:hAnsi="Avenir Next" w:cs="Calibri Light"/>
                <w:b/>
                <w:bCs/>
                <w:color w:val="000000"/>
                <w:sz w:val="20"/>
                <w:szCs w:val="20"/>
              </w:rPr>
            </w:pPr>
          </w:p>
          <w:p w14:paraId="4EBFB520" w14:textId="77777777" w:rsidR="0020198F" w:rsidRPr="000A7819" w:rsidRDefault="0020198F" w:rsidP="00EA34EE">
            <w:pPr>
              <w:snapToGrid w:val="0"/>
              <w:spacing w:before="60" w:after="60"/>
              <w:rPr>
                <w:rFonts w:ascii="Avenir Next" w:hAnsi="Avenir Next"/>
                <w:b/>
                <w:bCs/>
                <w:sz w:val="20"/>
                <w:szCs w:val="20"/>
              </w:rPr>
            </w:pPr>
            <w:r w:rsidRPr="000A7819">
              <w:rPr>
                <w:rFonts w:ascii="Avenir Next" w:hAnsi="Avenir Next" w:cs="Calibri Light"/>
                <w:color w:val="000000"/>
                <w:sz w:val="16"/>
                <w:szCs w:val="16"/>
              </w:rPr>
              <w:t xml:space="preserve">See Principle 2, in particular, of </w:t>
            </w:r>
            <w:hyperlink r:id="rId7" w:history="1">
              <w:r w:rsidRPr="000A7819">
                <w:rPr>
                  <w:rStyle w:val="Hyperlink"/>
                  <w:rFonts w:ascii="Avenir Next" w:hAnsi="Avenir Next" w:cs="Calibri Light"/>
                  <w:sz w:val="16"/>
                  <w:szCs w:val="16"/>
                </w:rPr>
                <w:t>5 Principles as Pathways to Inclusive Teaching</w:t>
              </w:r>
            </w:hyperlink>
            <w:r w:rsidRPr="000A7819">
              <w:rPr>
                <w:rFonts w:ascii="Avenir Next" w:hAnsi="Avenir Next" w:cs="Calibri Light"/>
                <w:color w:val="000000"/>
                <w:sz w:val="16"/>
                <w:szCs w:val="16"/>
              </w:rPr>
              <w:t xml:space="preserve"> from Inside Higher Ed.</w:t>
            </w:r>
          </w:p>
        </w:tc>
        <w:tc>
          <w:tcPr>
            <w:tcW w:w="4154" w:type="dxa"/>
          </w:tcPr>
          <w:p w14:paraId="2B94705B"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build fluencies with graduated levels of support for practice and performance?</w:t>
            </w:r>
            <w:r w:rsidRPr="000A7819">
              <w:rPr>
                <w:rFonts w:ascii="Avenir Next" w:hAnsi="Avenir Next" w:cs="Calibri Light"/>
                <w:color w:val="000000"/>
                <w:sz w:val="20"/>
                <w:szCs w:val="20"/>
                <w:vertAlign w:val="superscript"/>
              </w:rPr>
              <w:t xml:space="preserve">4 </w:t>
            </w:r>
          </w:p>
          <w:p w14:paraId="78A723D4"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these Universal Design for Learning (UDL) Guidelines around action and expression to </w:t>
            </w:r>
            <w:hyperlink r:id="rId8" w:history="1">
              <w:r w:rsidRPr="000A7819">
                <w:rPr>
                  <w:rStyle w:val="Hyperlink"/>
                  <w:rFonts w:ascii="Avenir Next" w:hAnsi="Avenir Next" w:cs="Calibri Light"/>
                  <w:sz w:val="16"/>
                  <w:szCs w:val="16"/>
                </w:rPr>
                <w:t>Build fluencies with graduated levels of support for practice and performance</w:t>
              </w:r>
            </w:hyperlink>
            <w:r w:rsidRPr="000A7819">
              <w:rPr>
                <w:rFonts w:ascii="Avenir Next" w:hAnsi="Avenir Next" w:cs="Calibri Light"/>
                <w:color w:val="000000"/>
                <w:sz w:val="16"/>
                <w:szCs w:val="16"/>
              </w:rPr>
              <w:t>.</w:t>
            </w:r>
          </w:p>
        </w:tc>
        <w:tc>
          <w:tcPr>
            <w:tcW w:w="708" w:type="dxa"/>
            <w:vAlign w:val="center"/>
          </w:tcPr>
          <w:p w14:paraId="3F1674E0"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B8E8EC3"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707C36F"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4FE11EB6"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2DCD8E91" w14:textId="77777777" w:rsidTr="00EA34EE">
        <w:tc>
          <w:tcPr>
            <w:tcW w:w="1795" w:type="dxa"/>
            <w:vMerge/>
            <w:shd w:val="clear" w:color="auto" w:fill="E7E6E6" w:themeFill="background2"/>
            <w:vAlign w:val="bottom"/>
          </w:tcPr>
          <w:p w14:paraId="3DF14F63" w14:textId="77777777" w:rsidR="0020198F" w:rsidRPr="000A7819" w:rsidRDefault="0020198F" w:rsidP="00EA34EE">
            <w:pPr>
              <w:snapToGrid w:val="0"/>
              <w:spacing w:before="60" w:after="60"/>
              <w:rPr>
                <w:rFonts w:ascii="Avenir Next" w:hAnsi="Avenir Next"/>
                <w:b/>
                <w:bCs/>
                <w:sz w:val="20"/>
                <w:szCs w:val="20"/>
              </w:rPr>
            </w:pPr>
          </w:p>
        </w:tc>
        <w:tc>
          <w:tcPr>
            <w:tcW w:w="4154" w:type="dxa"/>
          </w:tcPr>
          <w:p w14:paraId="6D7F5D7B"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Is content and/or are modules organized by topic or week, with clear start and end times that are intuitive to navigate?</w:t>
            </w:r>
            <w:r w:rsidRPr="000A7819">
              <w:rPr>
                <w:rFonts w:ascii="Avenir Next" w:hAnsi="Avenir Next" w:cs="Calibri Light"/>
                <w:color w:val="000000"/>
                <w:sz w:val="20"/>
                <w:szCs w:val="20"/>
                <w:vertAlign w:val="superscript"/>
              </w:rPr>
              <w:t>5</w:t>
            </w:r>
          </w:p>
        </w:tc>
        <w:tc>
          <w:tcPr>
            <w:tcW w:w="708" w:type="dxa"/>
            <w:vAlign w:val="center"/>
          </w:tcPr>
          <w:p w14:paraId="4A3233B1"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2F5D875"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C7DBB19"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6E7F8992"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72D73EF1" w14:textId="77777777" w:rsidTr="00EA34EE">
        <w:tc>
          <w:tcPr>
            <w:tcW w:w="1795" w:type="dxa"/>
            <w:vMerge/>
            <w:shd w:val="clear" w:color="auto" w:fill="E7E6E6" w:themeFill="background2"/>
            <w:vAlign w:val="bottom"/>
          </w:tcPr>
          <w:p w14:paraId="41E31323" w14:textId="77777777" w:rsidR="0020198F" w:rsidRPr="000A7819" w:rsidRDefault="0020198F" w:rsidP="00EA34EE">
            <w:pPr>
              <w:snapToGrid w:val="0"/>
              <w:spacing w:before="60" w:after="60"/>
              <w:rPr>
                <w:rFonts w:ascii="Avenir Next" w:hAnsi="Avenir Next"/>
                <w:b/>
                <w:bCs/>
                <w:sz w:val="20"/>
                <w:szCs w:val="20"/>
              </w:rPr>
            </w:pPr>
          </w:p>
        </w:tc>
        <w:tc>
          <w:tcPr>
            <w:tcW w:w="4154" w:type="dxa"/>
          </w:tcPr>
          <w:p w14:paraId="3F6203FA"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Does each module list associated learning outcomes, with clear connection to associated learning activities and assessments?</w:t>
            </w:r>
            <w:r w:rsidRPr="000A7819">
              <w:rPr>
                <w:rFonts w:ascii="Avenir Next" w:hAnsi="Avenir Next" w:cs="Calibri Light"/>
                <w:color w:val="000000"/>
                <w:sz w:val="20"/>
                <w:szCs w:val="20"/>
                <w:vertAlign w:val="superscript"/>
              </w:rPr>
              <w:t>5</w:t>
            </w:r>
          </w:p>
        </w:tc>
        <w:tc>
          <w:tcPr>
            <w:tcW w:w="708" w:type="dxa"/>
            <w:vAlign w:val="center"/>
          </w:tcPr>
          <w:p w14:paraId="2E3F54A1"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E9E70EA"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F5EA557"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5CF9B666"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32879B31" w14:textId="77777777" w:rsidTr="00EA34EE">
        <w:tc>
          <w:tcPr>
            <w:tcW w:w="1795" w:type="dxa"/>
            <w:vMerge/>
            <w:shd w:val="clear" w:color="auto" w:fill="E7E6E6" w:themeFill="background2"/>
            <w:vAlign w:val="bottom"/>
          </w:tcPr>
          <w:p w14:paraId="4696A63A" w14:textId="77777777" w:rsidR="0020198F" w:rsidRPr="000A7819" w:rsidRDefault="0020198F" w:rsidP="00EA34EE">
            <w:pPr>
              <w:snapToGrid w:val="0"/>
              <w:spacing w:before="60" w:after="60"/>
              <w:rPr>
                <w:rFonts w:ascii="Avenir Next" w:hAnsi="Avenir Next"/>
                <w:b/>
                <w:bCs/>
                <w:sz w:val="20"/>
                <w:szCs w:val="20"/>
              </w:rPr>
            </w:pPr>
          </w:p>
        </w:tc>
        <w:tc>
          <w:tcPr>
            <w:tcW w:w="4154" w:type="dxa"/>
          </w:tcPr>
          <w:p w14:paraId="1C73D085"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Are due dates clearly communicated and consistent throughout the course (e.g., in discussion boards, assignments, and course outline)?</w:t>
            </w:r>
            <w:r w:rsidRPr="000A7819">
              <w:rPr>
                <w:rFonts w:ascii="Avenir Next" w:hAnsi="Avenir Next" w:cs="Calibri Light"/>
                <w:color w:val="000000"/>
                <w:sz w:val="20"/>
                <w:szCs w:val="20"/>
                <w:vertAlign w:val="superscript"/>
              </w:rPr>
              <w:t>5</w:t>
            </w:r>
          </w:p>
        </w:tc>
        <w:tc>
          <w:tcPr>
            <w:tcW w:w="708" w:type="dxa"/>
            <w:vAlign w:val="center"/>
          </w:tcPr>
          <w:p w14:paraId="221342CE"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7F68D0F"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88E6971"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A6FEA97"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402911EF" w14:textId="77777777" w:rsidTr="00EA34EE">
        <w:tc>
          <w:tcPr>
            <w:tcW w:w="1795" w:type="dxa"/>
            <w:vMerge/>
            <w:shd w:val="clear" w:color="auto" w:fill="E7E6E6" w:themeFill="background2"/>
            <w:vAlign w:val="bottom"/>
          </w:tcPr>
          <w:p w14:paraId="175975DA" w14:textId="77777777" w:rsidR="0020198F" w:rsidRPr="000A7819" w:rsidRDefault="0020198F" w:rsidP="00EA34EE">
            <w:pPr>
              <w:snapToGrid w:val="0"/>
              <w:spacing w:before="60" w:after="60"/>
              <w:rPr>
                <w:rFonts w:ascii="Avenir Next" w:hAnsi="Avenir Next"/>
                <w:b/>
                <w:bCs/>
                <w:sz w:val="20"/>
                <w:szCs w:val="20"/>
              </w:rPr>
            </w:pPr>
          </w:p>
        </w:tc>
        <w:tc>
          <w:tcPr>
            <w:tcW w:w="4154" w:type="dxa"/>
          </w:tcPr>
          <w:p w14:paraId="5E0AF7DF"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 xml:space="preserve">Does the course highlight </w:t>
            </w:r>
            <w:proofErr w:type="gramStart"/>
            <w:r w:rsidRPr="000A7819">
              <w:rPr>
                <w:rFonts w:ascii="Avenir Next" w:hAnsi="Avenir Next" w:cs="Calibri Light"/>
                <w:color w:val="000000"/>
                <w:sz w:val="20"/>
                <w:szCs w:val="20"/>
              </w:rPr>
              <w:t>patterns</w:t>
            </w:r>
            <w:proofErr w:type="gramEnd"/>
            <w:r w:rsidRPr="000A7819">
              <w:rPr>
                <w:rFonts w:ascii="Avenir Next" w:hAnsi="Avenir Next" w:cs="Calibri Light"/>
                <w:color w:val="000000"/>
                <w:sz w:val="20"/>
                <w:szCs w:val="20"/>
              </w:rPr>
              <w:t>, critical features, big ideas, and relationships within content?</w:t>
            </w:r>
            <w:r w:rsidRPr="000A7819">
              <w:rPr>
                <w:rFonts w:ascii="Avenir Next" w:hAnsi="Avenir Next" w:cs="Calibri Light"/>
                <w:color w:val="000000"/>
                <w:sz w:val="20"/>
                <w:szCs w:val="20"/>
                <w:vertAlign w:val="superscript"/>
              </w:rPr>
              <w:t>4</w:t>
            </w:r>
          </w:p>
          <w:p w14:paraId="65D41162"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these Universal Design for Learning (UDL) Guidelines about how to </w:t>
            </w:r>
            <w:hyperlink r:id="rId9" w:history="1">
              <w:r w:rsidRPr="000A7819">
                <w:rPr>
                  <w:rStyle w:val="Hyperlink"/>
                  <w:rFonts w:ascii="Avenir Next" w:hAnsi="Avenir Next" w:cs="Calibri Light"/>
                  <w:sz w:val="16"/>
                  <w:szCs w:val="16"/>
                </w:rPr>
                <w:t>Highlight patterns, critical features, big ideas, and relationships</w:t>
              </w:r>
            </w:hyperlink>
            <w:r w:rsidRPr="000A7819">
              <w:rPr>
                <w:rFonts w:ascii="Avenir Next" w:hAnsi="Avenir Next" w:cs="Calibri Light"/>
                <w:color w:val="000000"/>
                <w:sz w:val="16"/>
                <w:szCs w:val="16"/>
              </w:rPr>
              <w:t>.</w:t>
            </w:r>
          </w:p>
        </w:tc>
        <w:tc>
          <w:tcPr>
            <w:tcW w:w="708" w:type="dxa"/>
            <w:vAlign w:val="center"/>
          </w:tcPr>
          <w:p w14:paraId="13ABC19C"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F2F2B74"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FA2DA4F"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59DC204"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51FD1BFA" w14:textId="77777777" w:rsidTr="00EA34EE">
        <w:tc>
          <w:tcPr>
            <w:tcW w:w="1795" w:type="dxa"/>
            <w:vMerge w:val="restart"/>
            <w:shd w:val="clear" w:color="auto" w:fill="E7E6E6" w:themeFill="background2"/>
          </w:tcPr>
          <w:p w14:paraId="02A1C8AF" w14:textId="77777777" w:rsidR="0020198F" w:rsidRPr="000A7819" w:rsidRDefault="0020198F"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Assessment Relevance, Variety, and Practice</w:t>
            </w:r>
          </w:p>
        </w:tc>
        <w:tc>
          <w:tcPr>
            <w:tcW w:w="4154" w:type="dxa"/>
          </w:tcPr>
          <w:p w14:paraId="139C804C"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Are connections between real-world issues and course topics and content drawn?</w:t>
            </w:r>
            <w:r w:rsidRPr="000A7819">
              <w:rPr>
                <w:rFonts w:ascii="Avenir Next" w:hAnsi="Avenir Next" w:cs="Calibri Light"/>
                <w:color w:val="000000"/>
                <w:sz w:val="20"/>
                <w:szCs w:val="20"/>
                <w:vertAlign w:val="superscript"/>
              </w:rPr>
              <w:t>6</w:t>
            </w:r>
          </w:p>
          <w:p w14:paraId="75F2A938"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this description of </w:t>
            </w:r>
            <w:hyperlink r:id="rId10" w:history="1">
              <w:r w:rsidRPr="000A7819">
                <w:rPr>
                  <w:rStyle w:val="Hyperlink"/>
                  <w:rFonts w:ascii="Avenir Next" w:hAnsi="Avenir Next" w:cs="Calibri Light"/>
                  <w:sz w:val="16"/>
                  <w:szCs w:val="16"/>
                </w:rPr>
                <w:t>Authentic/Alternative Assessments</w:t>
              </w:r>
            </w:hyperlink>
            <w:r w:rsidRPr="000A7819">
              <w:rPr>
                <w:rFonts w:ascii="Avenir Next" w:hAnsi="Avenir Next" w:cs="Calibri Light"/>
                <w:color w:val="000000"/>
                <w:sz w:val="16"/>
                <w:szCs w:val="16"/>
              </w:rPr>
              <w:t xml:space="preserve"> and their connection to real-world competencies from the University of Washington. </w:t>
            </w:r>
          </w:p>
        </w:tc>
        <w:tc>
          <w:tcPr>
            <w:tcW w:w="708" w:type="dxa"/>
            <w:vAlign w:val="center"/>
          </w:tcPr>
          <w:p w14:paraId="7952B05E"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444FD0F"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5AD0C7B"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AC4910B"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32D88E80" w14:textId="77777777" w:rsidTr="00EA34EE">
        <w:tc>
          <w:tcPr>
            <w:tcW w:w="1795" w:type="dxa"/>
            <w:vMerge/>
            <w:shd w:val="clear" w:color="auto" w:fill="E7E6E6" w:themeFill="background2"/>
            <w:vAlign w:val="bottom"/>
          </w:tcPr>
          <w:p w14:paraId="76271C82" w14:textId="77777777" w:rsidR="0020198F" w:rsidRPr="000A7819" w:rsidRDefault="0020198F" w:rsidP="00EA34EE">
            <w:pPr>
              <w:snapToGrid w:val="0"/>
              <w:spacing w:before="60" w:after="60"/>
              <w:rPr>
                <w:rFonts w:ascii="Avenir Next" w:hAnsi="Avenir Next"/>
                <w:b/>
                <w:bCs/>
                <w:sz w:val="20"/>
                <w:szCs w:val="20"/>
              </w:rPr>
            </w:pPr>
          </w:p>
        </w:tc>
        <w:tc>
          <w:tcPr>
            <w:tcW w:w="4154" w:type="dxa"/>
          </w:tcPr>
          <w:p w14:paraId="557DAD7F"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 assessments and activities optimize relevance, value, and authenticity?</w:t>
            </w:r>
            <w:r w:rsidRPr="000A7819">
              <w:rPr>
                <w:rFonts w:ascii="Avenir Next" w:hAnsi="Avenir Next" w:cs="Calibri Light"/>
                <w:color w:val="000000"/>
                <w:sz w:val="20"/>
                <w:szCs w:val="20"/>
                <w:vertAlign w:val="superscript"/>
              </w:rPr>
              <w:t>4, 6</w:t>
            </w:r>
          </w:p>
          <w:p w14:paraId="5175CE28"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Brigham Young University’s pros, cons, and guidelines around </w:t>
            </w:r>
            <w:hyperlink r:id="rId11" w:history="1">
              <w:r w:rsidRPr="000A7819">
                <w:rPr>
                  <w:rStyle w:val="Hyperlink"/>
                  <w:rFonts w:ascii="Avenir Next" w:hAnsi="Avenir Next" w:cs="Calibri Light"/>
                  <w:sz w:val="16"/>
                  <w:szCs w:val="16"/>
                </w:rPr>
                <w:t>using alternative assessments</w:t>
              </w:r>
            </w:hyperlink>
            <w:r w:rsidRPr="000A7819">
              <w:rPr>
                <w:rFonts w:ascii="Avenir Next" w:hAnsi="Avenir Next" w:cs="Calibri Light"/>
                <w:color w:val="000000"/>
                <w:sz w:val="16"/>
                <w:szCs w:val="16"/>
              </w:rPr>
              <w:t xml:space="preserve"> and Ryerson University’s </w:t>
            </w:r>
            <w:hyperlink r:id="rId12" w:history="1">
              <w:r w:rsidRPr="000A7819">
                <w:rPr>
                  <w:rStyle w:val="Hyperlink"/>
                  <w:rFonts w:ascii="Avenir Next" w:hAnsi="Avenir Next" w:cs="Calibri Light"/>
                  <w:sz w:val="16"/>
                  <w:szCs w:val="16"/>
                </w:rPr>
                <w:t>Best Practices in Alternative Assessments</w:t>
              </w:r>
            </w:hyperlink>
            <w:r w:rsidRPr="000A7819">
              <w:rPr>
                <w:rFonts w:ascii="Avenir Next" w:hAnsi="Avenir Next" w:cs="Calibri Light"/>
                <w:color w:val="000000"/>
                <w:sz w:val="16"/>
                <w:szCs w:val="16"/>
              </w:rPr>
              <w:t>.</w:t>
            </w:r>
          </w:p>
        </w:tc>
        <w:tc>
          <w:tcPr>
            <w:tcW w:w="708" w:type="dxa"/>
            <w:vAlign w:val="center"/>
          </w:tcPr>
          <w:p w14:paraId="2F72B963"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F3ED12C"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7EB6665"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6CC3E943"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40C622EB" w14:textId="77777777" w:rsidTr="00EA34EE">
        <w:tc>
          <w:tcPr>
            <w:tcW w:w="1795" w:type="dxa"/>
            <w:vMerge/>
            <w:shd w:val="clear" w:color="auto" w:fill="E7E6E6" w:themeFill="background2"/>
            <w:vAlign w:val="bottom"/>
          </w:tcPr>
          <w:p w14:paraId="38DF925A" w14:textId="77777777" w:rsidR="0020198F" w:rsidRPr="000A7819" w:rsidRDefault="0020198F" w:rsidP="00EA34EE">
            <w:pPr>
              <w:snapToGrid w:val="0"/>
              <w:spacing w:before="60" w:after="60"/>
              <w:rPr>
                <w:rFonts w:ascii="Avenir Next" w:hAnsi="Avenir Next"/>
                <w:b/>
                <w:bCs/>
                <w:sz w:val="20"/>
                <w:szCs w:val="20"/>
              </w:rPr>
            </w:pPr>
          </w:p>
        </w:tc>
        <w:tc>
          <w:tcPr>
            <w:tcW w:w="4154" w:type="dxa"/>
          </w:tcPr>
          <w:p w14:paraId="73FE55F7"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Are a variety of assessment methods used throughout the course to provide student opportunities to demonstrate learning in multiple modalities and weightings?</w:t>
            </w:r>
            <w:r w:rsidRPr="000A7819">
              <w:rPr>
                <w:rFonts w:ascii="Avenir Next" w:hAnsi="Avenir Next" w:cs="Calibri Light"/>
                <w:color w:val="000000"/>
                <w:sz w:val="20"/>
                <w:szCs w:val="20"/>
                <w:vertAlign w:val="superscript"/>
              </w:rPr>
              <w:t>5, 6</w:t>
            </w:r>
          </w:p>
          <w:p w14:paraId="7F34EBAC"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the University of Calgary’s list of </w:t>
            </w:r>
            <w:hyperlink r:id="rId13" w:history="1">
              <w:r w:rsidRPr="000A7819">
                <w:rPr>
                  <w:rStyle w:val="Hyperlink"/>
                  <w:rFonts w:ascii="Avenir Next" w:hAnsi="Avenir Next" w:cs="Calibri Light"/>
                  <w:sz w:val="16"/>
                  <w:szCs w:val="16"/>
                </w:rPr>
                <w:t>Alternative Online Assessments</w:t>
              </w:r>
            </w:hyperlink>
            <w:r w:rsidRPr="000A7819">
              <w:rPr>
                <w:rFonts w:ascii="Avenir Next" w:hAnsi="Avenir Next" w:cs="Calibri Light"/>
                <w:color w:val="000000"/>
                <w:sz w:val="16"/>
                <w:szCs w:val="16"/>
              </w:rPr>
              <w:t xml:space="preserve"> generated by the Taylor Institute for Teaching and Learning, </w:t>
            </w:r>
            <w:hyperlink r:id="rId14" w:history="1">
              <w:r w:rsidRPr="000A7819">
                <w:rPr>
                  <w:rStyle w:val="Hyperlink"/>
                  <w:rFonts w:ascii="Avenir Next" w:hAnsi="Avenir Next" w:cs="Calibri Light"/>
                  <w:sz w:val="16"/>
                  <w:szCs w:val="16"/>
                </w:rPr>
                <w:t>A Guide to Alternative Assessments</w:t>
              </w:r>
            </w:hyperlink>
            <w:r w:rsidRPr="000A7819">
              <w:rPr>
                <w:rFonts w:ascii="Avenir Next" w:hAnsi="Avenir Next" w:cs="Calibri Light"/>
                <w:color w:val="000000"/>
                <w:sz w:val="16"/>
                <w:szCs w:val="16"/>
              </w:rPr>
              <w:t xml:space="preserve"> from York University</w:t>
            </w:r>
            <w:r>
              <w:rPr>
                <w:rFonts w:ascii="Avenir Next" w:hAnsi="Avenir Next" w:cs="Calibri Light"/>
                <w:color w:val="000000"/>
                <w:sz w:val="16"/>
                <w:szCs w:val="16"/>
              </w:rPr>
              <w:t xml:space="preserve">, and this </w:t>
            </w:r>
            <w:hyperlink r:id="rId15" w:history="1">
              <w:r w:rsidRPr="00B03CD5">
                <w:rPr>
                  <w:rStyle w:val="Hyperlink"/>
                  <w:rFonts w:ascii="Avenir Next" w:hAnsi="Avenir Next" w:cs="Calibri Light"/>
                  <w:sz w:val="16"/>
                  <w:szCs w:val="16"/>
                </w:rPr>
                <w:t>List of Authentic Assessment Ideas</w:t>
              </w:r>
            </w:hyperlink>
            <w:r>
              <w:rPr>
                <w:rFonts w:ascii="Avenir Next" w:hAnsi="Avenir Next" w:cs="Calibri Light"/>
                <w:color w:val="000000"/>
                <w:sz w:val="16"/>
                <w:szCs w:val="16"/>
              </w:rPr>
              <w:t xml:space="preserve"> on studylib.net</w:t>
            </w:r>
            <w:r w:rsidRPr="000A7819">
              <w:rPr>
                <w:rFonts w:ascii="Avenir Next" w:hAnsi="Avenir Next" w:cs="Calibri Light"/>
                <w:color w:val="000000"/>
                <w:sz w:val="16"/>
                <w:szCs w:val="16"/>
              </w:rPr>
              <w:t>.</w:t>
            </w:r>
          </w:p>
        </w:tc>
        <w:tc>
          <w:tcPr>
            <w:tcW w:w="708" w:type="dxa"/>
            <w:vAlign w:val="center"/>
          </w:tcPr>
          <w:p w14:paraId="2C422AEF"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175D9A3"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12AE848"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061DD021"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16E80162" w14:textId="77777777" w:rsidTr="00EA34EE">
        <w:tc>
          <w:tcPr>
            <w:tcW w:w="1795" w:type="dxa"/>
            <w:vMerge/>
            <w:shd w:val="clear" w:color="auto" w:fill="E7E6E6" w:themeFill="background2"/>
            <w:vAlign w:val="bottom"/>
          </w:tcPr>
          <w:p w14:paraId="0C3677EA" w14:textId="77777777" w:rsidR="0020198F" w:rsidRPr="000A7819" w:rsidRDefault="0020198F" w:rsidP="00EA34EE">
            <w:pPr>
              <w:snapToGrid w:val="0"/>
              <w:spacing w:before="60" w:after="60"/>
              <w:rPr>
                <w:rFonts w:ascii="Avenir Next" w:hAnsi="Avenir Next"/>
                <w:b/>
                <w:bCs/>
                <w:sz w:val="20"/>
                <w:szCs w:val="20"/>
              </w:rPr>
            </w:pPr>
          </w:p>
        </w:tc>
        <w:tc>
          <w:tcPr>
            <w:tcW w:w="4154" w:type="dxa"/>
          </w:tcPr>
          <w:p w14:paraId="20A30268"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If using online quizzes/tests, is an online practice test available to students to familiarize them with the technology and testing environment?</w:t>
            </w:r>
            <w:r w:rsidRPr="000A7819">
              <w:rPr>
                <w:rFonts w:ascii="Avenir Next" w:hAnsi="Avenir Next" w:cs="Calibri Light"/>
                <w:color w:val="000000"/>
                <w:sz w:val="20"/>
                <w:szCs w:val="20"/>
                <w:vertAlign w:val="superscript"/>
              </w:rPr>
              <w:t>5</w:t>
            </w:r>
          </w:p>
          <w:p w14:paraId="28A024AD"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w:t>
            </w:r>
            <w:hyperlink r:id="rId16" w:history="1">
              <w:r w:rsidRPr="000A7819">
                <w:rPr>
                  <w:rStyle w:val="Hyperlink"/>
                  <w:rFonts w:ascii="Avenir Next" w:hAnsi="Avenir Next" w:cs="Calibri Light"/>
                  <w:sz w:val="16"/>
                  <w:szCs w:val="16"/>
                </w:rPr>
                <w:t>Making the Transition to Online Exams</w:t>
              </w:r>
            </w:hyperlink>
            <w:r w:rsidRPr="000A7819">
              <w:rPr>
                <w:rFonts w:ascii="Avenir Next" w:hAnsi="Avenir Next" w:cs="Calibri Light"/>
                <w:color w:val="000000"/>
                <w:sz w:val="16"/>
                <w:szCs w:val="16"/>
              </w:rPr>
              <w:t xml:space="preserve"> from the University of Waterloo.</w:t>
            </w:r>
          </w:p>
        </w:tc>
        <w:tc>
          <w:tcPr>
            <w:tcW w:w="708" w:type="dxa"/>
            <w:vAlign w:val="center"/>
          </w:tcPr>
          <w:p w14:paraId="22ABD2F9"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4C950EE"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A329653"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1BDBC26"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476F7D0C" w14:textId="77777777" w:rsidTr="00EA34EE">
        <w:trPr>
          <w:trHeight w:val="1180"/>
        </w:trPr>
        <w:tc>
          <w:tcPr>
            <w:tcW w:w="1795" w:type="dxa"/>
            <w:vMerge w:val="restart"/>
            <w:shd w:val="clear" w:color="auto" w:fill="E7E6E6" w:themeFill="background2"/>
          </w:tcPr>
          <w:p w14:paraId="5D89BE94" w14:textId="77777777" w:rsidR="0020198F" w:rsidRPr="000A7819" w:rsidRDefault="0020198F"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b/>
                <w:bCs/>
                <w:color w:val="000000"/>
                <w:sz w:val="20"/>
                <w:szCs w:val="20"/>
              </w:rPr>
              <w:t>Supplemental Learning Opportunities</w:t>
            </w:r>
          </w:p>
          <w:p w14:paraId="08611387" w14:textId="77777777" w:rsidR="0020198F" w:rsidRPr="000A7819" w:rsidRDefault="0020198F" w:rsidP="00EA34EE">
            <w:pPr>
              <w:snapToGrid w:val="0"/>
              <w:spacing w:before="60" w:after="60"/>
              <w:rPr>
                <w:rFonts w:ascii="Avenir Next" w:hAnsi="Avenir Next" w:cs="Calibri Light"/>
                <w:color w:val="000000"/>
                <w:sz w:val="16"/>
                <w:szCs w:val="16"/>
              </w:rPr>
            </w:pPr>
          </w:p>
          <w:p w14:paraId="0F36DAC4" w14:textId="77777777" w:rsidR="0020198F" w:rsidRPr="000A7819" w:rsidRDefault="0020198F" w:rsidP="00EA34EE">
            <w:pPr>
              <w:snapToGrid w:val="0"/>
              <w:spacing w:before="60" w:after="60"/>
              <w:rPr>
                <w:rFonts w:ascii="Avenir Next" w:hAnsi="Avenir Next"/>
                <w:b/>
                <w:bCs/>
                <w:sz w:val="20"/>
                <w:szCs w:val="20"/>
              </w:rPr>
            </w:pPr>
            <w:r w:rsidRPr="000A7819">
              <w:rPr>
                <w:rFonts w:ascii="Avenir Next" w:hAnsi="Avenir Next" w:cs="Calibri Light"/>
                <w:color w:val="000000"/>
                <w:sz w:val="16"/>
                <w:szCs w:val="16"/>
              </w:rPr>
              <w:t xml:space="preserve">See K. Patricia Cross Academy’s detailed description of </w:t>
            </w:r>
            <w:hyperlink r:id="rId17" w:history="1">
              <w:r w:rsidRPr="000A7819">
                <w:rPr>
                  <w:rStyle w:val="Hyperlink"/>
                  <w:rFonts w:ascii="Avenir Next" w:hAnsi="Avenir Next" w:cs="Calibri Light"/>
                  <w:sz w:val="16"/>
                  <w:szCs w:val="16"/>
                </w:rPr>
                <w:t>Making Good Use of Discussion Boards</w:t>
              </w:r>
            </w:hyperlink>
            <w:r w:rsidRPr="000A7819">
              <w:rPr>
                <w:rFonts w:ascii="Avenir Next" w:hAnsi="Avenir Next" w:cs="Calibri Light"/>
                <w:color w:val="000000"/>
                <w:sz w:val="16"/>
                <w:szCs w:val="16"/>
              </w:rPr>
              <w:t>.</w:t>
            </w:r>
          </w:p>
        </w:tc>
        <w:tc>
          <w:tcPr>
            <w:tcW w:w="4154" w:type="dxa"/>
            <w:vAlign w:val="center"/>
          </w:tcPr>
          <w:p w14:paraId="467357EF"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 xml:space="preserve">Does the course involve an </w:t>
            </w:r>
            <w:r w:rsidRPr="000A7819">
              <w:rPr>
                <w:rFonts w:ascii="Avenir Next" w:hAnsi="Avenir Next" w:cs="Calibri Light"/>
                <w:i/>
                <w:iCs/>
                <w:color w:val="000000"/>
                <w:sz w:val="20"/>
                <w:szCs w:val="20"/>
              </w:rPr>
              <w:t xml:space="preserve">FAQ </w:t>
            </w:r>
            <w:r w:rsidRPr="000A7819">
              <w:rPr>
                <w:rFonts w:ascii="Avenir Next" w:hAnsi="Avenir Next" w:cs="Calibri Light"/>
                <w:color w:val="000000"/>
                <w:sz w:val="20"/>
                <w:szCs w:val="20"/>
              </w:rPr>
              <w:t>discussion board to encourage collaborative learning and where answers to common questions can be posted? This strategy can also reduce emails to the instructor.</w:t>
            </w:r>
            <w:r w:rsidRPr="000A7819">
              <w:rPr>
                <w:rFonts w:ascii="Avenir Next" w:hAnsi="Avenir Next" w:cs="Calibri Light"/>
                <w:color w:val="000000"/>
                <w:sz w:val="20"/>
                <w:szCs w:val="20"/>
                <w:vertAlign w:val="superscript"/>
              </w:rPr>
              <w:t>5</w:t>
            </w:r>
            <w:r w:rsidRPr="000A7819">
              <w:rPr>
                <w:rFonts w:ascii="Avenir Next" w:hAnsi="Avenir Next" w:cs="Calibri Light"/>
                <w:color w:val="000000"/>
                <w:sz w:val="20"/>
                <w:szCs w:val="20"/>
              </w:rPr>
              <w:t xml:space="preserve"> </w:t>
            </w:r>
          </w:p>
        </w:tc>
        <w:tc>
          <w:tcPr>
            <w:tcW w:w="708" w:type="dxa"/>
            <w:vAlign w:val="center"/>
          </w:tcPr>
          <w:p w14:paraId="520157A5"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88C3D65"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71C071C"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69499895"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19671F11" w14:textId="77777777" w:rsidTr="00EA34EE">
        <w:trPr>
          <w:trHeight w:val="1181"/>
        </w:trPr>
        <w:tc>
          <w:tcPr>
            <w:tcW w:w="1795" w:type="dxa"/>
            <w:vMerge/>
            <w:shd w:val="clear" w:color="auto" w:fill="E7E6E6" w:themeFill="background2"/>
            <w:vAlign w:val="bottom"/>
          </w:tcPr>
          <w:p w14:paraId="1B1D04F0" w14:textId="77777777" w:rsidR="0020198F" w:rsidRPr="000A7819" w:rsidRDefault="0020198F" w:rsidP="00EA34EE">
            <w:pPr>
              <w:snapToGrid w:val="0"/>
              <w:spacing w:before="60" w:after="60"/>
              <w:rPr>
                <w:rFonts w:ascii="Avenir Next" w:hAnsi="Avenir Next"/>
                <w:b/>
                <w:bCs/>
                <w:sz w:val="20"/>
                <w:szCs w:val="20"/>
              </w:rPr>
            </w:pPr>
          </w:p>
        </w:tc>
        <w:tc>
          <w:tcPr>
            <w:tcW w:w="4154" w:type="dxa"/>
            <w:vAlign w:val="center"/>
          </w:tcPr>
          <w:p w14:paraId="43531AEB"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Does the course feature a ‘</w:t>
            </w:r>
            <w:r w:rsidRPr="000A7819">
              <w:rPr>
                <w:rFonts w:ascii="Avenir Next" w:hAnsi="Avenir Next" w:cs="Calibri Light"/>
                <w:i/>
                <w:iCs/>
                <w:color w:val="000000"/>
                <w:sz w:val="20"/>
                <w:szCs w:val="20"/>
              </w:rPr>
              <w:t xml:space="preserve">Dig Deeper’ </w:t>
            </w:r>
            <w:r w:rsidRPr="000A7819">
              <w:rPr>
                <w:rFonts w:ascii="Avenir Next" w:hAnsi="Avenir Next" w:cs="Calibri Light"/>
                <w:color w:val="000000"/>
                <w:sz w:val="20"/>
                <w:szCs w:val="20"/>
              </w:rPr>
              <w:t>discussion board for students to share additional resources they find?</w:t>
            </w:r>
            <w:r w:rsidRPr="000A7819">
              <w:rPr>
                <w:rFonts w:ascii="Avenir Next" w:hAnsi="Avenir Next" w:cs="Calibri Light"/>
                <w:color w:val="000000"/>
                <w:sz w:val="20"/>
                <w:szCs w:val="20"/>
                <w:vertAlign w:val="superscript"/>
              </w:rPr>
              <w:t>5</w:t>
            </w:r>
          </w:p>
        </w:tc>
        <w:tc>
          <w:tcPr>
            <w:tcW w:w="708" w:type="dxa"/>
            <w:vAlign w:val="center"/>
          </w:tcPr>
          <w:p w14:paraId="663C77E5"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8D073D1"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FF7FAC9"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575CAD09"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092B9CFA" w14:textId="77777777" w:rsidTr="00EA34EE">
        <w:tc>
          <w:tcPr>
            <w:tcW w:w="1795" w:type="dxa"/>
            <w:vMerge w:val="restart"/>
            <w:shd w:val="clear" w:color="auto" w:fill="E7E6E6" w:themeFill="background2"/>
          </w:tcPr>
          <w:p w14:paraId="241F9F20" w14:textId="77777777" w:rsidR="0020198F" w:rsidRPr="000A7819" w:rsidRDefault="0020198F"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b/>
                <w:bCs/>
                <w:color w:val="000000"/>
                <w:sz w:val="20"/>
                <w:szCs w:val="20"/>
              </w:rPr>
              <w:t>Multimedia</w:t>
            </w:r>
          </w:p>
          <w:p w14:paraId="6C286132" w14:textId="77777777" w:rsidR="0020198F" w:rsidRPr="000A7819" w:rsidRDefault="0020198F" w:rsidP="00EA34EE">
            <w:pPr>
              <w:snapToGrid w:val="0"/>
              <w:spacing w:before="60" w:after="60"/>
              <w:rPr>
                <w:rFonts w:ascii="Avenir Next" w:hAnsi="Avenir Next" w:cs="Calibri Light"/>
                <w:color w:val="000000"/>
                <w:sz w:val="16"/>
                <w:szCs w:val="16"/>
              </w:rPr>
            </w:pPr>
          </w:p>
          <w:p w14:paraId="64259B72" w14:textId="77777777" w:rsidR="0020198F" w:rsidRPr="000A7819" w:rsidRDefault="0020198F"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color w:val="000000"/>
                <w:sz w:val="16"/>
                <w:szCs w:val="16"/>
              </w:rPr>
              <w:t xml:space="preserve">See Carleton’s </w:t>
            </w:r>
            <w:hyperlink r:id="rId18" w:history="1">
              <w:r w:rsidRPr="000A7819">
                <w:rPr>
                  <w:rStyle w:val="Hyperlink"/>
                  <w:rFonts w:ascii="Avenir Next" w:hAnsi="Avenir Next" w:cs="Calibri Light"/>
                  <w:sz w:val="16"/>
                  <w:szCs w:val="16"/>
                </w:rPr>
                <w:t>Using Media to Enhance Teaching and Learning</w:t>
              </w:r>
            </w:hyperlink>
            <w:r w:rsidRPr="000A7819">
              <w:rPr>
                <w:rFonts w:ascii="Avenir Next" w:hAnsi="Avenir Next" w:cs="Calibri Light"/>
                <w:color w:val="000000"/>
                <w:sz w:val="16"/>
                <w:szCs w:val="16"/>
              </w:rPr>
              <w:t>.</w:t>
            </w:r>
          </w:p>
        </w:tc>
        <w:tc>
          <w:tcPr>
            <w:tcW w:w="4154" w:type="dxa"/>
          </w:tcPr>
          <w:p w14:paraId="11C94DFE"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use common file formats such as .doc or .pdf.?</w:t>
            </w:r>
            <w:r w:rsidRPr="000A7819">
              <w:rPr>
                <w:rFonts w:ascii="Avenir Next" w:hAnsi="Avenir Next" w:cs="Calibri Light"/>
                <w:color w:val="000000"/>
                <w:sz w:val="20"/>
                <w:szCs w:val="20"/>
                <w:vertAlign w:val="superscript"/>
              </w:rPr>
              <w:t>5</w:t>
            </w:r>
          </w:p>
          <w:p w14:paraId="72C1BA20"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the </w:t>
            </w:r>
            <w:hyperlink r:id="rId19" w:history="1">
              <w:r w:rsidRPr="000A7819">
                <w:rPr>
                  <w:rStyle w:val="Hyperlink"/>
                  <w:rFonts w:ascii="Avenir Next" w:hAnsi="Avenir Next" w:cs="Calibri Light"/>
                  <w:sz w:val="16"/>
                  <w:szCs w:val="16"/>
                </w:rPr>
                <w:t>Educator’s Accessibility Toolkit</w:t>
              </w:r>
            </w:hyperlink>
            <w:r w:rsidRPr="000A7819">
              <w:rPr>
                <w:rFonts w:ascii="Avenir Next" w:hAnsi="Avenir Next" w:cs="Calibri Light"/>
                <w:color w:val="000000"/>
                <w:sz w:val="16"/>
                <w:szCs w:val="16"/>
              </w:rPr>
              <w:t xml:space="preserve"> from the Council of Ontario Universities.</w:t>
            </w:r>
          </w:p>
        </w:tc>
        <w:tc>
          <w:tcPr>
            <w:tcW w:w="708" w:type="dxa"/>
            <w:vAlign w:val="center"/>
          </w:tcPr>
          <w:p w14:paraId="0D0E47F4"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7EB0586"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E3FD421"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41B99F93"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656C4D06" w14:textId="77777777" w:rsidTr="00EA34EE">
        <w:tc>
          <w:tcPr>
            <w:tcW w:w="1795" w:type="dxa"/>
            <w:vMerge/>
            <w:shd w:val="clear" w:color="auto" w:fill="E7E6E6" w:themeFill="background2"/>
            <w:vAlign w:val="bottom"/>
          </w:tcPr>
          <w:p w14:paraId="6931DCBD" w14:textId="77777777" w:rsidR="0020198F" w:rsidRPr="000A7819" w:rsidRDefault="0020198F" w:rsidP="00EA34EE">
            <w:pPr>
              <w:snapToGrid w:val="0"/>
              <w:spacing w:before="60" w:after="60"/>
              <w:rPr>
                <w:rFonts w:ascii="Avenir Next" w:hAnsi="Avenir Next"/>
                <w:sz w:val="20"/>
                <w:szCs w:val="20"/>
              </w:rPr>
            </w:pPr>
          </w:p>
        </w:tc>
        <w:tc>
          <w:tcPr>
            <w:tcW w:w="4154" w:type="dxa"/>
          </w:tcPr>
          <w:p w14:paraId="38EE2829"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involve multiple media for communication?</w:t>
            </w:r>
            <w:r w:rsidRPr="000A7819">
              <w:rPr>
                <w:rFonts w:ascii="Avenir Next" w:hAnsi="Avenir Next" w:cs="Calibri Light"/>
                <w:color w:val="000000"/>
                <w:sz w:val="20"/>
                <w:szCs w:val="20"/>
                <w:vertAlign w:val="superscript"/>
              </w:rPr>
              <w:t>4</w:t>
            </w:r>
          </w:p>
          <w:p w14:paraId="23877D25"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the Universal Design for Learning (UDL) Guidelines on how to </w:t>
            </w:r>
            <w:hyperlink r:id="rId20" w:history="1">
              <w:r w:rsidRPr="000A7819">
                <w:rPr>
                  <w:rStyle w:val="Hyperlink"/>
                  <w:rFonts w:ascii="Avenir Next" w:hAnsi="Avenir Next" w:cs="Calibri Light"/>
                  <w:sz w:val="16"/>
                  <w:szCs w:val="16"/>
                </w:rPr>
                <w:t>Use multiple media for communication</w:t>
              </w:r>
            </w:hyperlink>
            <w:r w:rsidRPr="000A7819">
              <w:rPr>
                <w:rFonts w:ascii="Avenir Next" w:hAnsi="Avenir Next" w:cs="Calibri Light"/>
                <w:color w:val="000000"/>
                <w:sz w:val="16"/>
                <w:szCs w:val="16"/>
              </w:rPr>
              <w:t>.</w:t>
            </w:r>
          </w:p>
        </w:tc>
        <w:tc>
          <w:tcPr>
            <w:tcW w:w="708" w:type="dxa"/>
            <w:vAlign w:val="center"/>
          </w:tcPr>
          <w:p w14:paraId="1FD8BC86"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8C5307A"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FE1A352"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E4342F4"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20198F" w:rsidRPr="000A7819" w14:paraId="362BC70F" w14:textId="77777777" w:rsidTr="00EA34EE">
        <w:tc>
          <w:tcPr>
            <w:tcW w:w="1795" w:type="dxa"/>
            <w:vMerge/>
            <w:shd w:val="clear" w:color="auto" w:fill="E7E6E6" w:themeFill="background2"/>
            <w:vAlign w:val="bottom"/>
          </w:tcPr>
          <w:p w14:paraId="06D3DCD7" w14:textId="77777777" w:rsidR="0020198F" w:rsidRPr="000A7819" w:rsidRDefault="0020198F" w:rsidP="00EA34EE">
            <w:pPr>
              <w:snapToGrid w:val="0"/>
              <w:spacing w:before="60" w:after="60"/>
              <w:rPr>
                <w:rFonts w:ascii="Avenir Next" w:hAnsi="Avenir Next"/>
                <w:sz w:val="20"/>
                <w:szCs w:val="20"/>
              </w:rPr>
            </w:pPr>
          </w:p>
        </w:tc>
        <w:tc>
          <w:tcPr>
            <w:tcW w:w="4154" w:type="dxa"/>
          </w:tcPr>
          <w:p w14:paraId="08CBC8AD" w14:textId="77777777" w:rsidR="0020198F" w:rsidRPr="000A7819" w:rsidRDefault="0020198F"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leverage multiple tools for construction and composition?</w:t>
            </w:r>
            <w:r w:rsidRPr="000A7819">
              <w:rPr>
                <w:rFonts w:ascii="Avenir Next" w:hAnsi="Avenir Next" w:cs="Calibri Light"/>
                <w:color w:val="000000"/>
                <w:sz w:val="20"/>
                <w:szCs w:val="20"/>
                <w:vertAlign w:val="superscript"/>
              </w:rPr>
              <w:t>4</w:t>
            </w:r>
          </w:p>
          <w:p w14:paraId="0CDE3A8A" w14:textId="77777777" w:rsidR="0020198F" w:rsidRPr="000A7819" w:rsidRDefault="0020198F"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the Universal Design for Learning (UDL) Guidelines on how to </w:t>
            </w:r>
            <w:hyperlink r:id="rId21" w:history="1">
              <w:r w:rsidRPr="000A7819">
                <w:rPr>
                  <w:rStyle w:val="Hyperlink"/>
                  <w:rFonts w:ascii="Avenir Next" w:hAnsi="Avenir Next" w:cs="Calibri Light"/>
                  <w:sz w:val="16"/>
                  <w:szCs w:val="16"/>
                </w:rPr>
                <w:t>Use multiple tools for construction and composition</w:t>
              </w:r>
            </w:hyperlink>
            <w:r w:rsidRPr="000A7819">
              <w:rPr>
                <w:rFonts w:ascii="Avenir Next" w:hAnsi="Avenir Next" w:cs="Calibri Light"/>
                <w:color w:val="000000"/>
                <w:sz w:val="16"/>
                <w:szCs w:val="16"/>
              </w:rPr>
              <w:t>.</w:t>
            </w:r>
          </w:p>
        </w:tc>
        <w:tc>
          <w:tcPr>
            <w:tcW w:w="708" w:type="dxa"/>
            <w:vAlign w:val="center"/>
          </w:tcPr>
          <w:p w14:paraId="4478819F"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E118129"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6094D7E9" w14:textId="77777777" w:rsidR="0020198F" w:rsidRPr="000A7819" w:rsidRDefault="0020198F"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2F2A44">
              <w:rPr>
                <w:rFonts w:ascii="Avenir Next" w:hAnsi="Avenir Next"/>
                <w:sz w:val="20"/>
                <w:szCs w:val="20"/>
              </w:rPr>
            </w:r>
            <w:r w:rsidR="002F2A44">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492BF390" w14:textId="77777777" w:rsidR="0020198F" w:rsidRPr="000A7819" w:rsidRDefault="0020198F"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bl>
    <w:p w14:paraId="7FB7E8D0" w14:textId="77777777" w:rsidR="0024474F" w:rsidRDefault="00AF3820" w:rsidP="0024474F">
      <w:pPr>
        <w:rPr>
          <w:rFonts w:ascii="Avenir Next" w:hAnsi="Avenir Next"/>
          <w:b/>
          <w:bCs/>
          <w:sz w:val="20"/>
          <w:szCs w:val="20"/>
        </w:rPr>
      </w:pPr>
      <w:r>
        <w:rPr>
          <w:rFonts w:ascii="Avenir Next" w:hAnsi="Avenir Next" w:cstheme="majorHAnsi"/>
          <w:sz w:val="20"/>
          <w:szCs w:val="20"/>
        </w:rPr>
        <w:br w:type="page"/>
      </w:r>
      <w:r w:rsidR="0024474F" w:rsidRPr="000A7819">
        <w:rPr>
          <w:rFonts w:ascii="Avenir Next" w:hAnsi="Avenir Next"/>
          <w:b/>
          <w:bCs/>
          <w:sz w:val="20"/>
          <w:szCs w:val="20"/>
        </w:rPr>
        <w:lastRenderedPageBreak/>
        <w:t>REFERENCES</w:t>
      </w:r>
    </w:p>
    <w:p w14:paraId="4D6B6AC6" w14:textId="77777777" w:rsidR="0024474F" w:rsidRPr="008E700F" w:rsidRDefault="0024474F" w:rsidP="0024474F">
      <w:pPr>
        <w:rPr>
          <w:rFonts w:ascii="Avenir Next" w:hAnsi="Avenir Next"/>
          <w:sz w:val="20"/>
          <w:szCs w:val="20"/>
        </w:rPr>
      </w:pPr>
      <w:r>
        <w:rPr>
          <w:rFonts w:ascii="Avenir Next" w:hAnsi="Avenir Next"/>
          <w:sz w:val="20"/>
          <w:szCs w:val="20"/>
        </w:rPr>
        <w:t>The references below helped give shape to the categories and subcategories of considerations that inform the learning design reflection questions.</w:t>
      </w:r>
    </w:p>
    <w:tbl>
      <w:tblPr>
        <w:tblW w:w="10800" w:type="dxa"/>
        <w:tblLook w:val="04A0" w:firstRow="1" w:lastRow="0" w:firstColumn="1" w:lastColumn="0" w:noHBand="0" w:noVBand="1"/>
      </w:tblPr>
      <w:tblGrid>
        <w:gridCol w:w="690"/>
        <w:gridCol w:w="10110"/>
      </w:tblGrid>
      <w:tr w:rsidR="0024474F" w:rsidRPr="000A7819" w14:paraId="48C46FFD" w14:textId="77777777" w:rsidTr="00EA34EE">
        <w:trPr>
          <w:trHeight w:val="320"/>
        </w:trPr>
        <w:tc>
          <w:tcPr>
            <w:tcW w:w="744" w:type="dxa"/>
            <w:tcBorders>
              <w:top w:val="nil"/>
              <w:left w:val="nil"/>
              <w:bottom w:val="nil"/>
              <w:right w:val="nil"/>
            </w:tcBorders>
            <w:shd w:val="clear" w:color="auto" w:fill="auto"/>
            <w:noWrap/>
            <w:hideMark/>
          </w:tcPr>
          <w:p w14:paraId="2CEC077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1</w:t>
            </w:r>
          </w:p>
        </w:tc>
        <w:tc>
          <w:tcPr>
            <w:tcW w:w="10056" w:type="dxa"/>
            <w:tcBorders>
              <w:top w:val="nil"/>
              <w:left w:val="nil"/>
              <w:bottom w:val="nil"/>
              <w:right w:val="nil"/>
            </w:tcBorders>
            <w:shd w:val="clear" w:color="auto" w:fill="auto"/>
            <w:noWrap/>
            <w:hideMark/>
          </w:tcPr>
          <w:p w14:paraId="75E762C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Diversity &amp; Inclusion Syllabus Checklist (University of Southern California)</w:t>
            </w:r>
            <w:r w:rsidRPr="000A7819">
              <w:rPr>
                <w:rFonts w:ascii="Avenir Next" w:hAnsi="Avenir Next"/>
                <w:color w:val="000000"/>
                <w:sz w:val="20"/>
                <w:szCs w:val="20"/>
              </w:rPr>
              <w:br/>
            </w:r>
            <w:hyperlink r:id="rId22" w:history="1">
              <w:r w:rsidRPr="000A7819">
                <w:rPr>
                  <w:rStyle w:val="Hyperlink"/>
                  <w:rFonts w:ascii="Avenir Next" w:hAnsi="Avenir Next"/>
                  <w:sz w:val="20"/>
                  <w:szCs w:val="20"/>
                </w:rPr>
                <w:t>https://libguides.usc.edu/ld.php?content_id=39088117</w:t>
              </w:r>
            </w:hyperlink>
            <w:r w:rsidRPr="000A7819">
              <w:rPr>
                <w:rFonts w:ascii="Avenir Next" w:hAnsi="Avenir Next"/>
                <w:color w:val="000000"/>
                <w:sz w:val="20"/>
                <w:szCs w:val="20"/>
              </w:rPr>
              <w:t xml:space="preserve"> </w:t>
            </w:r>
          </w:p>
        </w:tc>
      </w:tr>
      <w:tr w:rsidR="0024474F" w:rsidRPr="000A7819" w14:paraId="632730A6" w14:textId="77777777" w:rsidTr="00EA34EE">
        <w:trPr>
          <w:trHeight w:val="320"/>
        </w:trPr>
        <w:tc>
          <w:tcPr>
            <w:tcW w:w="744" w:type="dxa"/>
            <w:tcBorders>
              <w:top w:val="nil"/>
              <w:left w:val="nil"/>
              <w:bottom w:val="nil"/>
              <w:right w:val="nil"/>
            </w:tcBorders>
            <w:shd w:val="clear" w:color="auto" w:fill="auto"/>
            <w:noWrap/>
            <w:hideMark/>
          </w:tcPr>
          <w:p w14:paraId="330909B6"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2</w:t>
            </w:r>
          </w:p>
        </w:tc>
        <w:tc>
          <w:tcPr>
            <w:tcW w:w="10056" w:type="dxa"/>
            <w:tcBorders>
              <w:top w:val="nil"/>
              <w:left w:val="nil"/>
              <w:bottom w:val="nil"/>
              <w:right w:val="nil"/>
            </w:tcBorders>
            <w:shd w:val="clear" w:color="auto" w:fill="auto"/>
            <w:noWrap/>
            <w:hideMark/>
          </w:tcPr>
          <w:p w14:paraId="7CC66BEC"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Inclusive Teaching Strategies: Reflecting on Your Practice (Center for Research on Learning and Teaching, University of Michigan)</w:t>
            </w:r>
            <w:r>
              <w:rPr>
                <w:rFonts w:ascii="Avenir Next" w:hAnsi="Avenir Next"/>
                <w:color w:val="000000"/>
                <w:sz w:val="20"/>
                <w:szCs w:val="20"/>
              </w:rPr>
              <w:t xml:space="preserve"> </w:t>
            </w:r>
            <w:hyperlink r:id="rId23" w:anchor="heading=h.30j0zll" w:history="1">
              <w:r w:rsidRPr="004E4AD4">
                <w:rPr>
                  <w:rStyle w:val="Hyperlink"/>
                  <w:rFonts w:ascii="Avenir Next" w:hAnsi="Avenir Next"/>
                  <w:sz w:val="20"/>
                  <w:szCs w:val="20"/>
                </w:rPr>
                <w:t>https://docs.google.com/document/d/1QXOsiu5aDsbksadPpt0HqwNLXdLYfQayHa4miQ6PPpM/edit#heading=h.30j0zll</w:t>
              </w:r>
            </w:hyperlink>
            <w:r>
              <w:rPr>
                <w:rFonts w:ascii="Avenir Next" w:hAnsi="Avenir Next"/>
                <w:color w:val="000000"/>
                <w:sz w:val="20"/>
                <w:szCs w:val="20"/>
              </w:rPr>
              <w:t xml:space="preserve"> </w:t>
            </w:r>
          </w:p>
        </w:tc>
      </w:tr>
      <w:tr w:rsidR="0024474F" w:rsidRPr="000A7819" w14:paraId="38BFF513" w14:textId="77777777" w:rsidTr="00EA34EE">
        <w:trPr>
          <w:trHeight w:val="320"/>
        </w:trPr>
        <w:tc>
          <w:tcPr>
            <w:tcW w:w="744" w:type="dxa"/>
            <w:tcBorders>
              <w:top w:val="nil"/>
              <w:left w:val="nil"/>
              <w:bottom w:val="nil"/>
              <w:right w:val="nil"/>
            </w:tcBorders>
            <w:shd w:val="clear" w:color="auto" w:fill="auto"/>
            <w:noWrap/>
            <w:hideMark/>
          </w:tcPr>
          <w:p w14:paraId="71822A24"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3</w:t>
            </w:r>
          </w:p>
        </w:tc>
        <w:tc>
          <w:tcPr>
            <w:tcW w:w="10056" w:type="dxa"/>
            <w:tcBorders>
              <w:top w:val="nil"/>
              <w:left w:val="nil"/>
              <w:bottom w:val="nil"/>
              <w:right w:val="nil"/>
            </w:tcBorders>
            <w:shd w:val="clear" w:color="auto" w:fill="auto"/>
            <w:noWrap/>
            <w:hideMark/>
          </w:tcPr>
          <w:p w14:paraId="29979F1D"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Equity, Diversity, and Inclusivity (EDI) (Centre for Teaching and Learning, University of Alberta)</w:t>
            </w:r>
            <w:r w:rsidRPr="000A7819">
              <w:rPr>
                <w:rFonts w:ascii="Avenir Next" w:hAnsi="Avenir Next"/>
                <w:color w:val="000000"/>
                <w:sz w:val="20"/>
                <w:szCs w:val="20"/>
              </w:rPr>
              <w:br/>
            </w:r>
            <w:hyperlink r:id="rId24" w:history="1">
              <w:r w:rsidRPr="000A7819">
                <w:rPr>
                  <w:rStyle w:val="Hyperlink"/>
                  <w:rFonts w:ascii="Avenir Next" w:hAnsi="Avenir Next"/>
                  <w:sz w:val="20"/>
                  <w:szCs w:val="20"/>
                </w:rPr>
                <w:t>https://www.ualberta.ca/centre-for-teaching-and-learning/teaching-support/preparation/edi.html</w:t>
              </w:r>
            </w:hyperlink>
            <w:r w:rsidRPr="000A7819">
              <w:rPr>
                <w:rFonts w:ascii="Avenir Next" w:hAnsi="Avenir Next"/>
                <w:color w:val="000000"/>
                <w:sz w:val="20"/>
                <w:szCs w:val="20"/>
              </w:rPr>
              <w:t xml:space="preserve"> </w:t>
            </w:r>
          </w:p>
        </w:tc>
      </w:tr>
      <w:tr w:rsidR="0024474F" w:rsidRPr="000A7819" w14:paraId="1A8EC5AB" w14:textId="77777777" w:rsidTr="00EA34EE">
        <w:trPr>
          <w:trHeight w:val="320"/>
        </w:trPr>
        <w:tc>
          <w:tcPr>
            <w:tcW w:w="744" w:type="dxa"/>
            <w:tcBorders>
              <w:top w:val="nil"/>
              <w:left w:val="nil"/>
              <w:bottom w:val="nil"/>
              <w:right w:val="nil"/>
            </w:tcBorders>
            <w:shd w:val="clear" w:color="auto" w:fill="auto"/>
            <w:noWrap/>
            <w:hideMark/>
          </w:tcPr>
          <w:p w14:paraId="3729B611"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4</w:t>
            </w:r>
          </w:p>
        </w:tc>
        <w:tc>
          <w:tcPr>
            <w:tcW w:w="10056" w:type="dxa"/>
            <w:tcBorders>
              <w:top w:val="nil"/>
              <w:left w:val="nil"/>
              <w:bottom w:val="nil"/>
              <w:right w:val="nil"/>
            </w:tcBorders>
            <w:shd w:val="clear" w:color="auto" w:fill="auto"/>
            <w:noWrap/>
            <w:hideMark/>
          </w:tcPr>
          <w:p w14:paraId="563A6DAF"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The UDL Guidelines [Universal Design for Learning]</w:t>
            </w:r>
            <w:r w:rsidRPr="000A7819">
              <w:rPr>
                <w:rFonts w:ascii="Avenir Next" w:hAnsi="Avenir Next"/>
                <w:color w:val="000000"/>
                <w:sz w:val="20"/>
                <w:szCs w:val="20"/>
              </w:rPr>
              <w:br/>
            </w:r>
            <w:hyperlink r:id="rId25" w:history="1">
              <w:r w:rsidRPr="000A7819">
                <w:rPr>
                  <w:rStyle w:val="Hyperlink"/>
                  <w:rFonts w:ascii="Avenir Next" w:hAnsi="Avenir Next"/>
                  <w:sz w:val="20"/>
                  <w:szCs w:val="20"/>
                </w:rPr>
                <w:t>https://udlguidelines.cast.org</w:t>
              </w:r>
            </w:hyperlink>
            <w:r w:rsidRPr="000A7819">
              <w:rPr>
                <w:rFonts w:ascii="Avenir Next" w:hAnsi="Avenir Next"/>
                <w:color w:val="000000"/>
                <w:sz w:val="20"/>
                <w:szCs w:val="20"/>
              </w:rPr>
              <w:t xml:space="preserve"> </w:t>
            </w:r>
          </w:p>
        </w:tc>
      </w:tr>
      <w:tr w:rsidR="0024474F" w:rsidRPr="000A7819" w14:paraId="3C7CFE27" w14:textId="77777777" w:rsidTr="00EA34EE">
        <w:trPr>
          <w:trHeight w:val="320"/>
        </w:trPr>
        <w:tc>
          <w:tcPr>
            <w:tcW w:w="744" w:type="dxa"/>
            <w:tcBorders>
              <w:top w:val="nil"/>
              <w:left w:val="nil"/>
              <w:bottom w:val="nil"/>
              <w:right w:val="nil"/>
            </w:tcBorders>
            <w:shd w:val="clear" w:color="auto" w:fill="auto"/>
            <w:noWrap/>
            <w:hideMark/>
          </w:tcPr>
          <w:p w14:paraId="7241E49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5</w:t>
            </w:r>
          </w:p>
        </w:tc>
        <w:tc>
          <w:tcPr>
            <w:tcW w:w="10056" w:type="dxa"/>
            <w:tcBorders>
              <w:top w:val="nil"/>
              <w:left w:val="nil"/>
              <w:bottom w:val="nil"/>
              <w:right w:val="nil"/>
            </w:tcBorders>
            <w:shd w:val="clear" w:color="auto" w:fill="auto"/>
            <w:noWrap/>
            <w:hideMark/>
          </w:tcPr>
          <w:p w14:paraId="64EB934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Online Course Design Checklist (Taylor Institute for Teaching and Learning, University of Calgary)</w:t>
            </w:r>
            <w:r w:rsidRPr="000A7819">
              <w:rPr>
                <w:rFonts w:ascii="Avenir Next" w:hAnsi="Avenir Next"/>
                <w:color w:val="000000"/>
                <w:sz w:val="20"/>
                <w:szCs w:val="20"/>
              </w:rPr>
              <w:br/>
            </w:r>
            <w:hyperlink r:id="rId26" w:history="1">
              <w:r w:rsidRPr="000A7819">
                <w:rPr>
                  <w:rStyle w:val="Hyperlink"/>
                  <w:rFonts w:ascii="Avenir Next" w:hAnsi="Avenir Next"/>
                  <w:sz w:val="20"/>
                  <w:szCs w:val="20"/>
                </w:rPr>
                <w:t>https://taylorinstitute.ucalgary.ca/sites/default/files/Content/Resources/Online-Learning/Online-Course-Design-Checklist.pdf</w:t>
              </w:r>
            </w:hyperlink>
            <w:r w:rsidRPr="000A7819">
              <w:rPr>
                <w:rFonts w:ascii="Avenir Next" w:hAnsi="Avenir Next"/>
                <w:color w:val="000000"/>
                <w:sz w:val="20"/>
                <w:szCs w:val="20"/>
              </w:rPr>
              <w:t xml:space="preserve"> </w:t>
            </w:r>
          </w:p>
        </w:tc>
      </w:tr>
      <w:tr w:rsidR="0024474F" w:rsidRPr="000A7819" w14:paraId="47D3930E" w14:textId="77777777" w:rsidTr="00EA34EE">
        <w:trPr>
          <w:trHeight w:val="320"/>
        </w:trPr>
        <w:tc>
          <w:tcPr>
            <w:tcW w:w="744" w:type="dxa"/>
            <w:tcBorders>
              <w:top w:val="nil"/>
              <w:left w:val="nil"/>
              <w:bottom w:val="nil"/>
              <w:right w:val="nil"/>
            </w:tcBorders>
            <w:shd w:val="clear" w:color="auto" w:fill="auto"/>
            <w:noWrap/>
          </w:tcPr>
          <w:p w14:paraId="222EFA55"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6</w:t>
            </w:r>
          </w:p>
        </w:tc>
        <w:tc>
          <w:tcPr>
            <w:tcW w:w="10056" w:type="dxa"/>
            <w:tcBorders>
              <w:top w:val="nil"/>
              <w:left w:val="nil"/>
              <w:bottom w:val="nil"/>
              <w:right w:val="nil"/>
            </w:tcBorders>
            <w:shd w:val="clear" w:color="auto" w:fill="auto"/>
            <w:noWrap/>
          </w:tcPr>
          <w:p w14:paraId="7F465263" w14:textId="77777777" w:rsidR="0024474F" w:rsidRPr="000A7819" w:rsidRDefault="0024474F" w:rsidP="00EA34EE">
            <w:pPr>
              <w:snapToGrid w:val="0"/>
              <w:spacing w:before="60" w:after="60"/>
              <w:rPr>
                <w:rFonts w:ascii="Avenir Next" w:hAnsi="Avenir Next"/>
                <w:sz w:val="20"/>
                <w:szCs w:val="20"/>
              </w:rPr>
            </w:pPr>
            <w:r w:rsidRPr="000A7819">
              <w:rPr>
                <w:rFonts w:ascii="Avenir Next" w:hAnsi="Avenir Next"/>
                <w:sz w:val="20"/>
                <w:szCs w:val="20"/>
              </w:rPr>
              <w:t>Inclusion by Design: Survey your Syllabus and Course Design (</w:t>
            </w:r>
            <w:proofErr w:type="spellStart"/>
            <w:r w:rsidRPr="000A7819">
              <w:rPr>
                <w:rFonts w:ascii="Avenir Next" w:hAnsi="Avenir Next"/>
                <w:sz w:val="20"/>
                <w:szCs w:val="20"/>
              </w:rPr>
              <w:t>Poorvu</w:t>
            </w:r>
            <w:proofErr w:type="spellEnd"/>
            <w:r w:rsidRPr="000A7819">
              <w:rPr>
                <w:rFonts w:ascii="Avenir Next" w:hAnsi="Avenir Next"/>
                <w:sz w:val="20"/>
                <w:szCs w:val="20"/>
              </w:rPr>
              <w:t xml:space="preserve"> Center for Teaching and Learning, Yale University)</w:t>
            </w:r>
            <w:r w:rsidRPr="000A7819">
              <w:rPr>
                <w:rFonts w:ascii="Avenir Next" w:hAnsi="Avenir Next"/>
                <w:sz w:val="20"/>
                <w:szCs w:val="20"/>
              </w:rPr>
              <w:br/>
            </w:r>
            <w:hyperlink r:id="rId27" w:history="1">
              <w:r w:rsidRPr="000A7819">
                <w:rPr>
                  <w:rStyle w:val="Hyperlink"/>
                  <w:rFonts w:ascii="Avenir Next" w:hAnsi="Avenir Next"/>
                  <w:sz w:val="20"/>
                  <w:szCs w:val="20"/>
                </w:rPr>
                <w:t>https://poorvucenter.yale.edu/sites/default/files/basic-page-supplementary-materials-files/inclusion_by_design_survey_your_syllabus_1.pdf</w:t>
              </w:r>
            </w:hyperlink>
            <w:r w:rsidRPr="000A7819">
              <w:rPr>
                <w:rFonts w:ascii="Avenir Next" w:hAnsi="Avenir Next"/>
                <w:sz w:val="20"/>
                <w:szCs w:val="20"/>
              </w:rPr>
              <w:t xml:space="preserve"> </w:t>
            </w:r>
            <w:r w:rsidRPr="000A7819">
              <w:rPr>
                <w:rFonts w:ascii="Avenir Next" w:hAnsi="Avenir Next"/>
                <w:sz w:val="16"/>
                <w:szCs w:val="16"/>
              </w:rPr>
              <w:t xml:space="preserve"> </w:t>
            </w:r>
          </w:p>
        </w:tc>
      </w:tr>
    </w:tbl>
    <w:p w14:paraId="31E055CE" w14:textId="1ABD59ED" w:rsidR="00AF3820" w:rsidRDefault="00AF3820">
      <w:pPr>
        <w:rPr>
          <w:rFonts w:ascii="Avenir Next" w:hAnsi="Avenir Next" w:cstheme="majorHAnsi"/>
          <w:sz w:val="20"/>
          <w:szCs w:val="20"/>
        </w:rPr>
      </w:pPr>
    </w:p>
    <w:sectPr w:rsidR="00AF3820" w:rsidSect="006923E0">
      <w:headerReference w:type="default" r:id="rId28"/>
      <w:footerReference w:type="even" r:id="rId29"/>
      <w:footerReference w:type="default" r:id="rId3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1E42" w14:textId="77777777" w:rsidR="002F2A44" w:rsidRDefault="002F2A44" w:rsidP="006923E0">
      <w:r>
        <w:separator/>
      </w:r>
    </w:p>
  </w:endnote>
  <w:endnote w:type="continuationSeparator" w:id="0">
    <w:p w14:paraId="0DE3C979" w14:textId="77777777" w:rsidR="002F2A44" w:rsidRDefault="002F2A44" w:rsidP="006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636114"/>
      <w:docPartObj>
        <w:docPartGallery w:val="Page Numbers (Bottom of Page)"/>
        <w:docPartUnique/>
      </w:docPartObj>
    </w:sdtPr>
    <w:sdtEndPr>
      <w:rPr>
        <w:rStyle w:val="PageNumber"/>
      </w:rPr>
    </w:sdtEndPr>
    <w:sdtContent>
      <w:p w14:paraId="3BF60FF7" w14:textId="5207DA90" w:rsidR="00BD7AA5" w:rsidRDefault="00BD7AA5" w:rsidP="00EF080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196D1" w14:textId="77777777" w:rsidR="00BD7AA5" w:rsidRDefault="00BD7AA5" w:rsidP="00BD7A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608150"/>
      <w:docPartObj>
        <w:docPartGallery w:val="Page Numbers (Bottom of Page)"/>
        <w:docPartUnique/>
      </w:docPartObj>
    </w:sdtPr>
    <w:sdtEndPr>
      <w:rPr>
        <w:rStyle w:val="PageNumber"/>
        <w:rFonts w:ascii="Avenir Next" w:hAnsi="Avenir Next"/>
      </w:rPr>
    </w:sdtEndPr>
    <w:sdtContent>
      <w:p w14:paraId="70838FF9" w14:textId="2405772D" w:rsidR="00BD7AA5" w:rsidRPr="0024474F" w:rsidRDefault="00BD7AA5" w:rsidP="00EF080D">
        <w:pPr>
          <w:pStyle w:val="Footer"/>
          <w:framePr w:wrap="none" w:vAnchor="text" w:hAnchor="margin" w:y="1"/>
          <w:rPr>
            <w:rStyle w:val="PageNumber"/>
            <w:rFonts w:ascii="Avenir Next" w:hAnsi="Avenir Next"/>
          </w:rPr>
        </w:pPr>
        <w:r w:rsidRPr="0024474F">
          <w:rPr>
            <w:rStyle w:val="PageNumber"/>
            <w:rFonts w:ascii="Avenir Next" w:hAnsi="Avenir Next"/>
          </w:rPr>
          <w:fldChar w:fldCharType="begin"/>
        </w:r>
        <w:r w:rsidRPr="0024474F">
          <w:rPr>
            <w:rStyle w:val="PageNumber"/>
            <w:rFonts w:ascii="Avenir Next" w:hAnsi="Avenir Next"/>
          </w:rPr>
          <w:instrText xml:space="preserve"> PAGE </w:instrText>
        </w:r>
        <w:r w:rsidRPr="0024474F">
          <w:rPr>
            <w:rStyle w:val="PageNumber"/>
            <w:rFonts w:ascii="Avenir Next" w:hAnsi="Avenir Next"/>
          </w:rPr>
          <w:fldChar w:fldCharType="separate"/>
        </w:r>
        <w:r w:rsidRPr="0024474F">
          <w:rPr>
            <w:rStyle w:val="PageNumber"/>
            <w:rFonts w:ascii="Avenir Next" w:hAnsi="Avenir Next"/>
            <w:noProof/>
          </w:rPr>
          <w:t>2</w:t>
        </w:r>
        <w:r w:rsidRPr="0024474F">
          <w:rPr>
            <w:rStyle w:val="PageNumber"/>
            <w:rFonts w:ascii="Avenir Next" w:hAnsi="Avenir Next"/>
          </w:rPr>
          <w:fldChar w:fldCharType="end"/>
        </w:r>
      </w:p>
    </w:sdtContent>
  </w:sdt>
  <w:p w14:paraId="18DE2C8B" w14:textId="296DCC8E" w:rsidR="006923E0" w:rsidRDefault="00BD7AA5" w:rsidP="00BD7AA5">
    <w:pPr>
      <w:pStyle w:val="Footer"/>
      <w:ind w:firstLine="360"/>
      <w:jc w:val="right"/>
    </w:pPr>
    <w:r>
      <w:rPr>
        <w:rFonts w:ascii="Avenir Next" w:hAnsi="Avenir Next"/>
        <w:b/>
        <w:bCs/>
        <w:noProof/>
        <w:sz w:val="20"/>
        <w:szCs w:val="20"/>
      </w:rPr>
      <w:drawing>
        <wp:anchor distT="0" distB="0" distL="114300" distR="114300" simplePos="0" relativeHeight="251659264" behindDoc="0" locked="0" layoutInCell="1" allowOverlap="1" wp14:anchorId="744D1C3B" wp14:editId="45AB3877">
          <wp:simplePos x="0" y="0"/>
          <wp:positionH relativeFrom="margin">
            <wp:posOffset>5146675</wp:posOffset>
          </wp:positionH>
          <wp:positionV relativeFrom="paragraph">
            <wp:posOffset>-98077</wp:posOffset>
          </wp:positionV>
          <wp:extent cx="1472215" cy="434126"/>
          <wp:effectExtent l="0" t="0" r="1270" b="0"/>
          <wp:wrapNone/>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215" cy="43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36D79" w14:textId="77777777" w:rsidR="002F2A44" w:rsidRDefault="002F2A44" w:rsidP="006923E0">
      <w:r>
        <w:separator/>
      </w:r>
    </w:p>
  </w:footnote>
  <w:footnote w:type="continuationSeparator" w:id="0">
    <w:p w14:paraId="285429CC" w14:textId="77777777" w:rsidR="002F2A44" w:rsidRDefault="002F2A44" w:rsidP="0069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AF76" w14:textId="3C38A4E7" w:rsidR="006923E0" w:rsidRDefault="006923E0" w:rsidP="006923E0">
    <w:pPr>
      <w:rPr>
        <w:rFonts w:ascii="Avenir Next" w:hAnsi="Avenir Next"/>
        <w:sz w:val="20"/>
        <w:szCs w:val="20"/>
      </w:rPr>
    </w:pPr>
    <w:r w:rsidRPr="000A7819">
      <w:rPr>
        <w:rFonts w:ascii="Avenir Next" w:hAnsi="Avenir Next"/>
        <w:b/>
        <w:bCs/>
        <w:sz w:val="20"/>
        <w:szCs w:val="20"/>
      </w:rPr>
      <w:t>LEARNING DESIGN REFLECTIONS</w:t>
    </w:r>
    <w:r>
      <w:rPr>
        <w:rFonts w:ascii="Avenir Next" w:hAnsi="Avenir Next"/>
        <w:sz w:val="20"/>
        <w:szCs w:val="20"/>
      </w:rPr>
      <w:t xml:space="preserve"> </w:t>
    </w:r>
    <w:r>
      <w:rPr>
        <w:rFonts w:ascii="Avenir Next" w:hAnsi="Avenir Next"/>
        <w:sz w:val="20"/>
        <w:szCs w:val="20"/>
      </w:rPr>
      <w:br/>
    </w:r>
    <w:r w:rsidRPr="006923E0">
      <w:rPr>
        <w:rFonts w:ascii="Avenir Next" w:hAnsi="Avenir Next"/>
        <w:sz w:val="18"/>
        <w:szCs w:val="18"/>
      </w:rPr>
      <w:t>EQUITY, DIVERSITY, &amp; INCLUSION, UNIVERSAL DESIGN for LEARNING, and TEACHING &amp; LEARNING ONLINE</w:t>
    </w:r>
  </w:p>
  <w:p w14:paraId="61C896E5" w14:textId="77777777" w:rsidR="006923E0" w:rsidRDefault="00692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0"/>
    <w:rsid w:val="0020198F"/>
    <w:rsid w:val="0023204C"/>
    <w:rsid w:val="0024474F"/>
    <w:rsid w:val="002F2A44"/>
    <w:rsid w:val="00495646"/>
    <w:rsid w:val="004E181B"/>
    <w:rsid w:val="004E7974"/>
    <w:rsid w:val="00504A0C"/>
    <w:rsid w:val="005841CB"/>
    <w:rsid w:val="006923E0"/>
    <w:rsid w:val="006A55EC"/>
    <w:rsid w:val="009F520A"/>
    <w:rsid w:val="00AF3820"/>
    <w:rsid w:val="00B20BC6"/>
    <w:rsid w:val="00BD7AA5"/>
    <w:rsid w:val="00CE11F1"/>
    <w:rsid w:val="00D51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AEB5"/>
  <w15:chartTrackingRefBased/>
  <w15:docId w15:val="{89DAC487-5448-A545-8A4E-3D3D974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E0"/>
    <w:pPr>
      <w:tabs>
        <w:tab w:val="center" w:pos="4680"/>
        <w:tab w:val="right" w:pos="9360"/>
      </w:tabs>
    </w:pPr>
  </w:style>
  <w:style w:type="character" w:customStyle="1" w:styleId="HeaderChar">
    <w:name w:val="Header Char"/>
    <w:basedOn w:val="DefaultParagraphFont"/>
    <w:link w:val="Header"/>
    <w:uiPriority w:val="99"/>
    <w:rsid w:val="006923E0"/>
  </w:style>
  <w:style w:type="paragraph" w:styleId="Footer">
    <w:name w:val="footer"/>
    <w:basedOn w:val="Normal"/>
    <w:link w:val="FooterChar"/>
    <w:uiPriority w:val="99"/>
    <w:unhideWhenUsed/>
    <w:rsid w:val="006923E0"/>
    <w:pPr>
      <w:tabs>
        <w:tab w:val="center" w:pos="4680"/>
        <w:tab w:val="right" w:pos="9360"/>
      </w:tabs>
    </w:pPr>
  </w:style>
  <w:style w:type="character" w:customStyle="1" w:styleId="FooterChar">
    <w:name w:val="Footer Char"/>
    <w:basedOn w:val="DefaultParagraphFont"/>
    <w:link w:val="Footer"/>
    <w:uiPriority w:val="99"/>
    <w:rsid w:val="006923E0"/>
  </w:style>
  <w:style w:type="character" w:styleId="Hyperlink">
    <w:name w:val="Hyperlink"/>
    <w:basedOn w:val="DefaultParagraphFont"/>
    <w:uiPriority w:val="99"/>
    <w:unhideWhenUsed/>
    <w:rsid w:val="00AF3820"/>
    <w:rPr>
      <w:color w:val="0563C1" w:themeColor="hyperlink"/>
      <w:u w:val="single"/>
    </w:rPr>
  </w:style>
  <w:style w:type="character" w:customStyle="1" w:styleId="apple-converted-space">
    <w:name w:val="apple-converted-space"/>
    <w:basedOn w:val="DefaultParagraphFont"/>
    <w:rsid w:val="00AF3820"/>
  </w:style>
  <w:style w:type="character" w:styleId="PageNumber">
    <w:name w:val="page number"/>
    <w:basedOn w:val="DefaultParagraphFont"/>
    <w:uiPriority w:val="99"/>
    <w:semiHidden/>
    <w:unhideWhenUsed/>
    <w:rsid w:val="00BD7AA5"/>
  </w:style>
  <w:style w:type="table" w:styleId="TableGrid">
    <w:name w:val="Table Grid"/>
    <w:basedOn w:val="TableNormal"/>
    <w:uiPriority w:val="39"/>
    <w:rsid w:val="0020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action-expression/expression-communication/fluencies-practice-performance" TargetMode="External"/><Relationship Id="rId13" Type="http://schemas.openxmlformats.org/officeDocument/2006/relationships/hyperlink" Target="https://taylorinstitute.ucalgary.ca/resources/alternative-online-assessments" TargetMode="External"/><Relationship Id="rId18" Type="http://schemas.openxmlformats.org/officeDocument/2006/relationships/hyperlink" Target="https://serc.carleton.edu/sp/library/media/index.html" TargetMode="External"/><Relationship Id="rId26" Type="http://schemas.openxmlformats.org/officeDocument/2006/relationships/hyperlink" Target="https://taylorinstitute.ucalgary.ca/sites/default/files/Content/Resources/Online-Learning/Online-Course-Design-Checklist.pdf" TargetMode="External"/><Relationship Id="rId3" Type="http://schemas.openxmlformats.org/officeDocument/2006/relationships/webSettings" Target="webSettings.xml"/><Relationship Id="rId21" Type="http://schemas.openxmlformats.org/officeDocument/2006/relationships/hyperlink" Target="https://udlguidelines.cast.org/action-expression/expression-communication/construction-composition" TargetMode="External"/><Relationship Id="rId7" Type="http://schemas.openxmlformats.org/officeDocument/2006/relationships/hyperlink" Target="https://www.insidehighered.com/advice/2020/02/19/practical-steps-toward-more-inclusive-teaching-opinion" TargetMode="External"/><Relationship Id="rId12" Type="http://schemas.openxmlformats.org/officeDocument/2006/relationships/hyperlink" Target="https://www.ryerson.ca/content/dam/learning-teaching/teaching-resources/assessment/alternative-assessments.pdf" TargetMode="External"/><Relationship Id="rId17" Type="http://schemas.openxmlformats.org/officeDocument/2006/relationships/hyperlink" Target="https://kpcrossacademy.org/making-good-use-of-online-discussion-boards/" TargetMode="External"/><Relationship Id="rId25" Type="http://schemas.openxmlformats.org/officeDocument/2006/relationships/hyperlink" Target="https://udlguidelines.cast.org" TargetMode="External"/><Relationship Id="rId2" Type="http://schemas.openxmlformats.org/officeDocument/2006/relationships/settings" Target="settings.xml"/><Relationship Id="rId16" Type="http://schemas.openxmlformats.org/officeDocument/2006/relationships/hyperlink" Target="https://uwaterloo.ca/centre-for-teaching-excellence/teaching-resources/teaching-tips/teaching-tips-assessing-students/making-transition-online-exams" TargetMode="External"/><Relationship Id="rId20" Type="http://schemas.openxmlformats.org/officeDocument/2006/relationships/hyperlink" Target="https://udlguidelines.cast.org/action-expression/expression-communication/use-multimedia"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tl.byu.edu/using-alternative-assessments" TargetMode="External"/><Relationship Id="rId24" Type="http://schemas.openxmlformats.org/officeDocument/2006/relationships/hyperlink" Target="https://www.ualberta.ca/centre-for-teaching-and-learning/teaching-support/preparation/edi.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tudylib.net/doc/18406293/a-list-of-authentic-assessment-ideas" TargetMode="External"/><Relationship Id="rId23" Type="http://schemas.openxmlformats.org/officeDocument/2006/relationships/hyperlink" Target="https://docs.google.com/document/d/1QXOsiu5aDsbksadPpt0HqwNLXdLYfQayHa4miQ6PPpM/edit" TargetMode="External"/><Relationship Id="rId28" Type="http://schemas.openxmlformats.org/officeDocument/2006/relationships/header" Target="header1.xml"/><Relationship Id="rId10" Type="http://schemas.openxmlformats.org/officeDocument/2006/relationships/hyperlink" Target="https://canvas.uw.edu/courses/1418620/pages/authentic-slash-alternative-assessment" TargetMode="External"/><Relationship Id="rId19" Type="http://schemas.openxmlformats.org/officeDocument/2006/relationships/hyperlink" Target="https://accessiblecampus.ca/tools-resources/educators-tool-kit/"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dlguidelines.cast.org/representation/comprehension/patterns-features" TargetMode="External"/><Relationship Id="rId14" Type="http://schemas.openxmlformats.org/officeDocument/2006/relationships/hyperlink" Target="https://yorkspace.library.yorku.ca/xmlui/bitstream/handle/10315/38325/Guide_Alternative_Assessments.pdf?sequence=2&amp;isAllowed=y" TargetMode="External"/><Relationship Id="rId22" Type="http://schemas.openxmlformats.org/officeDocument/2006/relationships/hyperlink" Target="https://libguides.usc.edu/ld.php?content_id=39088117" TargetMode="External"/><Relationship Id="rId27" Type="http://schemas.openxmlformats.org/officeDocument/2006/relationships/hyperlink" Target="https://poorvucenter.yale.edu/sites/default/files/basic-page-supplementary-materials-files/inclusion_by_design_survey_your_syllabus_1.pd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Mikita</dc:creator>
  <cp:keywords/>
  <dc:description/>
  <cp:lastModifiedBy>Kiara Mikita</cp:lastModifiedBy>
  <cp:revision>2</cp:revision>
  <dcterms:created xsi:type="dcterms:W3CDTF">2021-07-22T14:26:00Z</dcterms:created>
  <dcterms:modified xsi:type="dcterms:W3CDTF">2021-07-22T14:26:00Z</dcterms:modified>
</cp:coreProperties>
</file>