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7F03DB56" w14:textId="77777777" w:rsidR="005E35C7" w:rsidRDefault="005E35C7" w:rsidP="005E35C7">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3ABE662E" w14:textId="77777777" w:rsidR="006923E0" w:rsidRPr="00BD7AA5" w:rsidRDefault="006923E0" w:rsidP="004E7974">
      <w:pPr>
        <w:snapToGrid w:val="0"/>
        <w:spacing w:before="80" w:after="80"/>
        <w:jc w:val="center"/>
        <w:rPr>
          <w:rFonts w:ascii="Avenir Next" w:hAnsi="Avenir Next" w:cstheme="majorHAnsi"/>
        </w:rPr>
      </w:pP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1C45BB61"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3A324A5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365B8842"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0C10311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6438B618"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1992AD13" w14:textId="77777777" w:rsidR="00AD2042" w:rsidRDefault="00AD2042" w:rsidP="00AD2042">
      <w:pPr>
        <w:autoSpaceDE w:val="0"/>
        <w:autoSpaceDN w:val="0"/>
        <w:adjustRightInd w:val="0"/>
        <w:rPr>
          <w:rFonts w:ascii="Avenir Next" w:eastAsiaTheme="minorHAnsi" w:hAnsi="Avenir Next" w:cs="AppleSystemUIFontBold"/>
          <w:b/>
          <w:bCs/>
          <w:sz w:val="20"/>
          <w:szCs w:val="18"/>
          <w:lang w:val="en-US"/>
        </w:rPr>
      </w:pPr>
    </w:p>
    <w:p w14:paraId="32CA651D" w14:textId="77777777" w:rsidR="00AD2042" w:rsidRDefault="00AD2042" w:rsidP="00AD2042">
      <w:pPr>
        <w:autoSpaceDE w:val="0"/>
        <w:autoSpaceDN w:val="0"/>
        <w:adjustRightInd w:val="0"/>
        <w:rPr>
          <w:rFonts w:ascii="Avenir Next" w:eastAsiaTheme="minorHAnsi" w:hAnsi="Avenir Next" w:cs="AppleSystemUIFontBold"/>
          <w:b/>
          <w:bCs/>
          <w:sz w:val="20"/>
          <w:szCs w:val="18"/>
          <w:lang w:val="en-US"/>
        </w:rPr>
      </w:pPr>
    </w:p>
    <w:p w14:paraId="24E1FB54" w14:textId="77777777" w:rsidR="00AD2042" w:rsidRDefault="00AD2042" w:rsidP="00AD2042">
      <w:pPr>
        <w:autoSpaceDE w:val="0"/>
        <w:autoSpaceDN w:val="0"/>
        <w:adjustRightInd w:val="0"/>
        <w:rPr>
          <w:rFonts w:ascii="Avenir Next" w:eastAsiaTheme="minorHAnsi" w:hAnsi="Avenir Next" w:cs="AppleSystemUIFontBold"/>
          <w:b/>
          <w:bCs/>
          <w:sz w:val="20"/>
          <w:szCs w:val="18"/>
          <w:lang w:val="en-US"/>
        </w:rPr>
      </w:pPr>
    </w:p>
    <w:p w14:paraId="457F73BD" w14:textId="77777777" w:rsidR="00AD2042" w:rsidRDefault="00AD2042" w:rsidP="00AD2042">
      <w:pPr>
        <w:autoSpaceDE w:val="0"/>
        <w:autoSpaceDN w:val="0"/>
        <w:adjustRightInd w:val="0"/>
        <w:rPr>
          <w:rFonts w:ascii="Avenir Next" w:eastAsiaTheme="minorHAnsi" w:hAnsi="Avenir Next" w:cs="AppleSystemUIFontBold"/>
          <w:b/>
          <w:bCs/>
          <w:sz w:val="20"/>
          <w:szCs w:val="18"/>
          <w:lang w:val="en-US"/>
        </w:rPr>
      </w:pPr>
    </w:p>
    <w:p w14:paraId="0A9E124C" w14:textId="77777777" w:rsidR="00AD2042" w:rsidRDefault="00AD2042" w:rsidP="00AD2042">
      <w:pPr>
        <w:autoSpaceDE w:val="0"/>
        <w:autoSpaceDN w:val="0"/>
        <w:adjustRightInd w:val="0"/>
        <w:rPr>
          <w:rFonts w:ascii="Avenir Next" w:eastAsiaTheme="minorHAnsi" w:hAnsi="Avenir Next" w:cs="AppleSystemUIFontBold"/>
          <w:b/>
          <w:bCs/>
          <w:sz w:val="20"/>
          <w:szCs w:val="18"/>
          <w:lang w:val="en-US"/>
        </w:rPr>
      </w:pPr>
    </w:p>
    <w:p w14:paraId="71492D3E" w14:textId="4587ED0E" w:rsidR="00AD2042" w:rsidRPr="00FB7E07" w:rsidRDefault="00AD2042" w:rsidP="00AD204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1F598B14" w14:textId="77777777" w:rsidR="00AD2042" w:rsidRPr="00FB7E07" w:rsidRDefault="00AD2042" w:rsidP="00AD2042">
      <w:pPr>
        <w:autoSpaceDE w:val="0"/>
        <w:autoSpaceDN w:val="0"/>
        <w:adjustRightInd w:val="0"/>
        <w:rPr>
          <w:rFonts w:ascii="Avenir Next" w:eastAsiaTheme="minorHAnsi" w:hAnsi="Avenir Next" w:cs="AppleSystemUIFont"/>
          <w:sz w:val="20"/>
          <w:szCs w:val="18"/>
          <w:lang w:val="en-US"/>
        </w:rPr>
      </w:pPr>
    </w:p>
    <w:p w14:paraId="493932F1" w14:textId="77777777" w:rsidR="00AD2042" w:rsidRPr="00FB7E07" w:rsidRDefault="00AD2042" w:rsidP="00AD204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326415A1" w14:textId="77777777" w:rsidR="00AD2042" w:rsidRPr="00FB7E07" w:rsidRDefault="00AD2042" w:rsidP="00AD2042">
      <w:pPr>
        <w:autoSpaceDE w:val="0"/>
        <w:autoSpaceDN w:val="0"/>
        <w:adjustRightInd w:val="0"/>
        <w:rPr>
          <w:rFonts w:ascii="Avenir Next" w:eastAsiaTheme="minorHAnsi" w:hAnsi="Avenir Next" w:cs="AppleSystemUIFont"/>
          <w:sz w:val="20"/>
          <w:szCs w:val="18"/>
          <w:lang w:val="en-US"/>
        </w:rPr>
      </w:pPr>
    </w:p>
    <w:p w14:paraId="449E7F4E" w14:textId="77777777" w:rsidR="00AD2042" w:rsidRPr="00FB7E07" w:rsidRDefault="00AD2042" w:rsidP="00AD2042">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0F86A78F" w14:textId="77777777" w:rsidR="00AD2042" w:rsidRPr="00FB7E07" w:rsidRDefault="00AD2042" w:rsidP="00AD2042">
      <w:pPr>
        <w:autoSpaceDE w:val="0"/>
        <w:autoSpaceDN w:val="0"/>
        <w:adjustRightInd w:val="0"/>
        <w:rPr>
          <w:rFonts w:ascii="Avenir Next" w:eastAsiaTheme="minorHAnsi" w:hAnsi="Avenir Next" w:cs="AppleSystemUIFontBold"/>
          <w:b/>
          <w:bCs/>
          <w:sz w:val="20"/>
          <w:szCs w:val="18"/>
          <w:lang w:val="en-US"/>
        </w:rPr>
      </w:pPr>
    </w:p>
    <w:p w14:paraId="3BD6D2B8" w14:textId="77777777" w:rsidR="00AD2042" w:rsidRPr="00FB7E07" w:rsidRDefault="00AD2042" w:rsidP="00AD2042">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3B5EB868" w14:textId="77777777" w:rsidR="00AD2042" w:rsidRPr="00FB7E07" w:rsidRDefault="00AD2042" w:rsidP="00AD2042">
      <w:pPr>
        <w:autoSpaceDE w:val="0"/>
        <w:autoSpaceDN w:val="0"/>
        <w:adjustRightInd w:val="0"/>
        <w:rPr>
          <w:rFonts w:ascii="Avenir Next" w:eastAsiaTheme="minorHAnsi" w:hAnsi="Avenir Next" w:cs="AppleSystemUIFont"/>
          <w:sz w:val="20"/>
          <w:szCs w:val="18"/>
          <w:lang w:val="en-US"/>
        </w:rPr>
      </w:pPr>
    </w:p>
    <w:p w14:paraId="3BD54646" w14:textId="77777777" w:rsidR="00AD2042" w:rsidRPr="00FB7E07" w:rsidRDefault="00AD2042" w:rsidP="00AD2042">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7FF5B2C2" w14:textId="77777777" w:rsidR="00AD2042" w:rsidRPr="00FB7E07" w:rsidRDefault="00AD2042" w:rsidP="00AD2042">
      <w:pPr>
        <w:autoSpaceDE w:val="0"/>
        <w:autoSpaceDN w:val="0"/>
        <w:adjustRightInd w:val="0"/>
        <w:rPr>
          <w:rFonts w:ascii="Avenir Next" w:eastAsiaTheme="minorHAnsi" w:hAnsi="Avenir Next" w:cs="AppleSystemUIFont"/>
          <w:sz w:val="15"/>
          <w:szCs w:val="12"/>
          <w:lang w:val="en-US"/>
        </w:rPr>
      </w:pPr>
    </w:p>
    <w:p w14:paraId="05826836" w14:textId="468FBCC7" w:rsidR="006923E0" w:rsidRPr="00AD2042" w:rsidRDefault="00AD2042" w:rsidP="00AD2042">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r w:rsidR="006923E0">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8"/>
        <w:gridCol w:w="709"/>
        <w:gridCol w:w="709"/>
        <w:gridCol w:w="2693"/>
      </w:tblGrid>
      <w:tr w:rsidR="005E35C7" w:rsidRPr="000A7819" w14:paraId="79E38B96" w14:textId="77777777" w:rsidTr="00EA34EE">
        <w:tc>
          <w:tcPr>
            <w:tcW w:w="5949" w:type="dxa"/>
            <w:gridSpan w:val="2"/>
            <w:shd w:val="clear" w:color="auto" w:fill="E7E6E6" w:themeFill="background2"/>
            <w:vAlign w:val="center"/>
          </w:tcPr>
          <w:p w14:paraId="41CAFE4C" w14:textId="77777777" w:rsidR="005E35C7" w:rsidRPr="000A7819" w:rsidRDefault="005E35C7" w:rsidP="00EA34EE">
            <w:pPr>
              <w:snapToGrid w:val="0"/>
              <w:spacing w:before="60" w:after="60"/>
              <w:rPr>
                <w:rFonts w:ascii="Avenir Next" w:hAnsi="Avenir Next" w:cs="Calibri Light"/>
                <w:b/>
                <w:bCs/>
                <w:color w:val="000000"/>
                <w:sz w:val="20"/>
                <w:szCs w:val="20"/>
              </w:rPr>
            </w:pPr>
            <w:r w:rsidRPr="000A7819">
              <w:rPr>
                <w:rFonts w:ascii="Avenir Next" w:hAnsi="Avenir Next"/>
                <w:b/>
                <w:bCs/>
                <w:sz w:val="20"/>
                <w:szCs w:val="20"/>
              </w:rPr>
              <w:lastRenderedPageBreak/>
              <w:t>DIVERSE APPROACHES</w:t>
            </w:r>
          </w:p>
        </w:tc>
        <w:tc>
          <w:tcPr>
            <w:tcW w:w="708" w:type="dxa"/>
            <w:shd w:val="clear" w:color="auto" w:fill="E7E6E6" w:themeFill="background2"/>
            <w:vAlign w:val="center"/>
          </w:tcPr>
          <w:p w14:paraId="238A8B2B"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b/>
                <w:bCs/>
                <w:sz w:val="20"/>
                <w:szCs w:val="20"/>
              </w:rPr>
              <w:t>YES</w:t>
            </w:r>
          </w:p>
        </w:tc>
        <w:tc>
          <w:tcPr>
            <w:tcW w:w="709" w:type="dxa"/>
            <w:shd w:val="clear" w:color="auto" w:fill="E7E6E6" w:themeFill="background2"/>
            <w:vAlign w:val="center"/>
          </w:tcPr>
          <w:p w14:paraId="1509B722"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30C343E8"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b/>
                <w:bCs/>
                <w:sz w:val="15"/>
                <w:szCs w:val="15"/>
              </w:rPr>
              <w:t>I will revisit this</w:t>
            </w:r>
          </w:p>
        </w:tc>
        <w:tc>
          <w:tcPr>
            <w:tcW w:w="2693" w:type="dxa"/>
            <w:shd w:val="clear" w:color="auto" w:fill="E7E6E6" w:themeFill="background2"/>
            <w:vAlign w:val="center"/>
          </w:tcPr>
          <w:p w14:paraId="4E10E9BB"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b/>
                <w:bCs/>
                <w:sz w:val="20"/>
                <w:szCs w:val="20"/>
              </w:rPr>
              <w:t>NOTES</w:t>
            </w:r>
          </w:p>
        </w:tc>
      </w:tr>
      <w:tr w:rsidR="005E35C7" w:rsidRPr="000A7819" w14:paraId="588B3D13" w14:textId="77777777" w:rsidTr="00EA34EE">
        <w:tc>
          <w:tcPr>
            <w:tcW w:w="1795" w:type="dxa"/>
            <w:shd w:val="clear" w:color="auto" w:fill="E7E6E6" w:themeFill="background2"/>
          </w:tcPr>
          <w:p w14:paraId="296F05D6" w14:textId="77777777" w:rsidR="005E35C7" w:rsidRPr="000A7819" w:rsidRDefault="005E35C7"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Means of Engagement</w:t>
            </w:r>
          </w:p>
        </w:tc>
        <w:tc>
          <w:tcPr>
            <w:tcW w:w="4154" w:type="dxa"/>
          </w:tcPr>
          <w:p w14:paraId="233F9E76" w14:textId="77777777" w:rsidR="005E35C7" w:rsidRPr="000A7819" w:rsidRDefault="005E35C7"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involve a variety of teaching methods and modalities (verbal, visual, interactive, didactic, etc.) rather than relying on one mode of engagement?</w:t>
            </w:r>
            <w:r w:rsidRPr="000A7819">
              <w:rPr>
                <w:rFonts w:ascii="Avenir Next" w:hAnsi="Avenir Next" w:cs="Calibri Light"/>
                <w:color w:val="000000"/>
                <w:sz w:val="20"/>
                <w:szCs w:val="20"/>
                <w:vertAlign w:val="superscript"/>
              </w:rPr>
              <w:t>2</w:t>
            </w:r>
          </w:p>
          <w:p w14:paraId="5AAEE5CA" w14:textId="77777777" w:rsidR="005E35C7" w:rsidRPr="000A7819" w:rsidRDefault="005E35C7"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this </w:t>
            </w:r>
            <w:hyperlink r:id="rId7" w:history="1">
              <w:r w:rsidRPr="000A7819">
                <w:rPr>
                  <w:rStyle w:val="Hyperlink"/>
                  <w:rFonts w:ascii="Avenir Next" w:hAnsi="Avenir Next" w:cs="Calibri Light"/>
                  <w:sz w:val="16"/>
                  <w:szCs w:val="16"/>
                </w:rPr>
                <w:t>Teaching Methods Overview</w:t>
              </w:r>
            </w:hyperlink>
            <w:r w:rsidRPr="000A7819">
              <w:rPr>
                <w:rFonts w:ascii="Avenir Next" w:hAnsi="Avenir Next" w:cs="Calibri Light"/>
                <w:color w:val="000000"/>
                <w:sz w:val="16"/>
                <w:szCs w:val="16"/>
              </w:rPr>
              <w:t xml:space="preserve"> from the University of Central Florida that describes a spectrum of more teacher directed to more student directed methods.</w:t>
            </w:r>
          </w:p>
        </w:tc>
        <w:tc>
          <w:tcPr>
            <w:tcW w:w="708" w:type="dxa"/>
            <w:vAlign w:val="center"/>
          </w:tcPr>
          <w:p w14:paraId="02B256D2"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EB96100"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8CB0501"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1F8BFD90" w14:textId="77777777" w:rsidR="005E35C7" w:rsidRPr="000A7819" w:rsidRDefault="005E35C7"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5E35C7" w:rsidRPr="000A7819" w14:paraId="5EE25D36" w14:textId="77777777" w:rsidTr="00EA34EE">
        <w:tc>
          <w:tcPr>
            <w:tcW w:w="1795" w:type="dxa"/>
            <w:shd w:val="clear" w:color="auto" w:fill="E7E6E6" w:themeFill="background2"/>
          </w:tcPr>
          <w:p w14:paraId="70B2F1D8" w14:textId="77777777" w:rsidR="005E35C7" w:rsidRPr="000A7819" w:rsidRDefault="005E35C7"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Activities and Assessments</w:t>
            </w:r>
          </w:p>
        </w:tc>
        <w:tc>
          <w:tcPr>
            <w:tcW w:w="4154" w:type="dxa"/>
          </w:tcPr>
          <w:p w14:paraId="1BF4D38C" w14:textId="77777777" w:rsidR="005E35C7" w:rsidRPr="000A7819" w:rsidRDefault="005E35C7"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use a variety of assignments and assessments to engage students with content, each other, and to encourage meaningful learning (such as narrative, case studies, tutorials, peer feedback)?</w:t>
            </w:r>
            <w:r w:rsidRPr="000A7819">
              <w:rPr>
                <w:rFonts w:ascii="Avenir Next" w:hAnsi="Avenir Next" w:cs="Calibri Light"/>
                <w:color w:val="000000"/>
                <w:sz w:val="20"/>
                <w:szCs w:val="20"/>
                <w:vertAlign w:val="superscript"/>
              </w:rPr>
              <w:t>5</w:t>
            </w:r>
          </w:p>
          <w:p w14:paraId="1A6460E0" w14:textId="77777777" w:rsidR="005E35C7" w:rsidRPr="000A7819" w:rsidRDefault="005E35C7"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this </w:t>
            </w:r>
            <w:hyperlink r:id="rId8" w:history="1">
              <w:r w:rsidRPr="000A7819">
                <w:rPr>
                  <w:rStyle w:val="Hyperlink"/>
                  <w:rFonts w:ascii="Avenir Next" w:hAnsi="Avenir Next" w:cs="Calibri Light"/>
                  <w:sz w:val="16"/>
                  <w:szCs w:val="16"/>
                </w:rPr>
                <w:t>Variety in Assignment and Assessment Methods</w:t>
              </w:r>
            </w:hyperlink>
            <w:r w:rsidRPr="000A7819">
              <w:rPr>
                <w:rFonts w:ascii="Avenir Next" w:hAnsi="Avenir Next" w:cs="Calibri Light"/>
                <w:color w:val="000000"/>
                <w:sz w:val="16"/>
                <w:szCs w:val="16"/>
              </w:rPr>
              <w:t xml:space="preserve"> from the University of New Brunswick.</w:t>
            </w:r>
          </w:p>
        </w:tc>
        <w:tc>
          <w:tcPr>
            <w:tcW w:w="708" w:type="dxa"/>
            <w:vAlign w:val="center"/>
          </w:tcPr>
          <w:p w14:paraId="17E54200"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121BE8F"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6985582"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D1522BB" w14:textId="77777777" w:rsidR="005E35C7" w:rsidRPr="000A7819" w:rsidRDefault="005E35C7"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5E35C7" w:rsidRPr="000A7819" w14:paraId="0E8AC066" w14:textId="77777777" w:rsidTr="00EA34EE">
        <w:tc>
          <w:tcPr>
            <w:tcW w:w="1795" w:type="dxa"/>
            <w:shd w:val="clear" w:color="auto" w:fill="E7E6E6" w:themeFill="background2"/>
          </w:tcPr>
          <w:p w14:paraId="2D1ED56F" w14:textId="77777777" w:rsidR="005E35C7" w:rsidRPr="000A7819" w:rsidRDefault="005E35C7"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Media</w:t>
            </w:r>
          </w:p>
        </w:tc>
        <w:tc>
          <w:tcPr>
            <w:tcW w:w="4154" w:type="dxa"/>
          </w:tcPr>
          <w:p w14:paraId="12EEBD9F" w14:textId="77777777" w:rsidR="005E35C7" w:rsidRPr="000A7819" w:rsidRDefault="005E35C7"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the course include content in multiple formats</w:t>
            </w:r>
            <w:r w:rsidRPr="000A7819">
              <w:rPr>
                <w:rStyle w:val="FootnoteReference"/>
                <w:rFonts w:ascii="Avenir Next" w:hAnsi="Avenir Next" w:cs="Calibri Light"/>
                <w:color w:val="000000"/>
                <w:sz w:val="20"/>
                <w:szCs w:val="20"/>
              </w:rPr>
              <w:footnoteReference w:id="1"/>
            </w:r>
            <w:r w:rsidRPr="000A7819">
              <w:rPr>
                <w:rFonts w:ascii="Avenir Next" w:hAnsi="Avenir Next" w:cs="Calibri Light"/>
                <w:color w:val="000000"/>
                <w:sz w:val="20"/>
                <w:szCs w:val="20"/>
              </w:rPr>
              <w:t xml:space="preserve"> when possible (such as a video interview with an expert on the topic as well as a research article or textbook chapter)?</w:t>
            </w:r>
            <w:r w:rsidRPr="000A7819">
              <w:rPr>
                <w:rFonts w:ascii="Avenir Next" w:hAnsi="Avenir Next" w:cs="Calibri Light"/>
                <w:color w:val="000000"/>
                <w:sz w:val="20"/>
                <w:szCs w:val="20"/>
                <w:vertAlign w:val="superscript"/>
              </w:rPr>
              <w:t>1, 4, 5</w:t>
            </w:r>
          </w:p>
          <w:p w14:paraId="6BED3C60" w14:textId="77777777" w:rsidR="005E35C7" w:rsidRPr="000A7819" w:rsidRDefault="005E35C7"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16"/>
                <w:szCs w:val="16"/>
              </w:rPr>
              <w:t xml:space="preserve">See these Universal Design for Learning (UDL) Guidelines around action and expression to </w:t>
            </w:r>
            <w:hyperlink r:id="rId9" w:history="1">
              <w:r w:rsidRPr="000A7819">
                <w:rPr>
                  <w:rStyle w:val="Hyperlink"/>
                  <w:rFonts w:ascii="Avenir Next" w:hAnsi="Avenir Next" w:cs="Calibri Light"/>
                  <w:sz w:val="16"/>
                  <w:szCs w:val="16"/>
                </w:rPr>
                <w:t>use multiple media for communication</w:t>
              </w:r>
            </w:hyperlink>
            <w:r w:rsidRPr="000A7819">
              <w:rPr>
                <w:rFonts w:ascii="Avenir Next" w:hAnsi="Avenir Next" w:cs="Calibri Light"/>
                <w:color w:val="000000"/>
                <w:sz w:val="16"/>
                <w:szCs w:val="16"/>
              </w:rPr>
              <w:t>.</w:t>
            </w:r>
          </w:p>
        </w:tc>
        <w:tc>
          <w:tcPr>
            <w:tcW w:w="708" w:type="dxa"/>
            <w:vAlign w:val="center"/>
          </w:tcPr>
          <w:p w14:paraId="073210E3"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6BE780F"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41095A3" w14:textId="77777777" w:rsidR="005E35C7" w:rsidRPr="000A7819" w:rsidRDefault="005E35C7"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087FD5">
              <w:rPr>
                <w:rFonts w:ascii="Avenir Next" w:hAnsi="Avenir Next"/>
                <w:sz w:val="20"/>
                <w:szCs w:val="20"/>
              </w:rPr>
            </w:r>
            <w:r w:rsidR="00087FD5">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3B498547" w14:textId="77777777" w:rsidR="005E35C7" w:rsidRPr="000A7819" w:rsidRDefault="005E35C7"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10"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11"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12"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13"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14"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15"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16"/>
      <w:footerReference w:type="even" r:id="rId17"/>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33AA" w14:textId="77777777" w:rsidR="00087FD5" w:rsidRDefault="00087FD5" w:rsidP="006923E0">
      <w:r>
        <w:separator/>
      </w:r>
    </w:p>
  </w:endnote>
  <w:endnote w:type="continuationSeparator" w:id="0">
    <w:p w14:paraId="55BC3CF3" w14:textId="77777777" w:rsidR="00087FD5" w:rsidRDefault="00087FD5"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B453" w14:textId="77777777" w:rsidR="00087FD5" w:rsidRDefault="00087FD5" w:rsidP="006923E0">
      <w:r>
        <w:separator/>
      </w:r>
    </w:p>
  </w:footnote>
  <w:footnote w:type="continuationSeparator" w:id="0">
    <w:p w14:paraId="0321D0CA" w14:textId="77777777" w:rsidR="00087FD5" w:rsidRDefault="00087FD5" w:rsidP="006923E0">
      <w:r>
        <w:continuationSeparator/>
      </w:r>
    </w:p>
  </w:footnote>
  <w:footnote w:id="1">
    <w:p w14:paraId="7C03C718" w14:textId="4DDDB497" w:rsidR="005E35C7" w:rsidRPr="00D5426E" w:rsidRDefault="005E35C7" w:rsidP="005E35C7">
      <w:pPr>
        <w:pStyle w:val="FootnoteText"/>
        <w:rPr>
          <w:rFonts w:ascii="Avenir Next" w:hAnsi="Avenir Next"/>
          <w:sz w:val="18"/>
          <w:szCs w:val="18"/>
        </w:rPr>
      </w:pPr>
      <w:r w:rsidRPr="00D5426E">
        <w:rPr>
          <w:rStyle w:val="FootnoteReference"/>
          <w:rFonts w:ascii="Avenir Next" w:hAnsi="Avenir Next"/>
          <w:sz w:val="18"/>
          <w:szCs w:val="18"/>
        </w:rPr>
        <w:footnoteRef/>
      </w:r>
      <w:r w:rsidRPr="00D5426E">
        <w:rPr>
          <w:rFonts w:ascii="Avenir Next" w:hAnsi="Avenir Next"/>
          <w:sz w:val="18"/>
          <w:szCs w:val="18"/>
        </w:rPr>
        <w:t xml:space="preserve"> Multimedia courses may be particularly relevant in online contexts where data plans and unreliable internet delivery may impact student engagement. See an </w:t>
      </w:r>
      <w:hyperlink r:id="rId1" w:history="1">
        <w:r w:rsidRPr="00D5426E">
          <w:rPr>
            <w:rStyle w:val="Hyperlink"/>
            <w:rFonts w:ascii="Avenir Next" w:hAnsi="Avenir Next"/>
            <w:sz w:val="18"/>
            <w:szCs w:val="18"/>
          </w:rPr>
          <w:t>bandwidth/immediacy graphic</w:t>
        </w:r>
      </w:hyperlink>
      <w:r w:rsidRPr="00D5426E">
        <w:rPr>
          <w:rFonts w:ascii="Avenir Next" w:hAnsi="Avenir Next"/>
          <w:sz w:val="18"/>
          <w:szCs w:val="18"/>
        </w:rPr>
        <w:t xml:space="preserve"> by clicking on the link, and then clicking on the [+] next to “EDI in Online Teaching: Where to Begin.” The colourful graphic is located midway down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087FD5"/>
    <w:rsid w:val="001A7B91"/>
    <w:rsid w:val="0023204C"/>
    <w:rsid w:val="0024474F"/>
    <w:rsid w:val="00495646"/>
    <w:rsid w:val="004E7974"/>
    <w:rsid w:val="00504A0C"/>
    <w:rsid w:val="005841CB"/>
    <w:rsid w:val="005E35C7"/>
    <w:rsid w:val="006923E0"/>
    <w:rsid w:val="006A55EC"/>
    <w:rsid w:val="00887677"/>
    <w:rsid w:val="009F520A"/>
    <w:rsid w:val="00AD2042"/>
    <w:rsid w:val="00AF3820"/>
    <w:rsid w:val="00B20BC6"/>
    <w:rsid w:val="00BD7AA5"/>
    <w:rsid w:val="00CE1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5E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E35C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E35C7"/>
    <w:rPr>
      <w:sz w:val="20"/>
      <w:szCs w:val="20"/>
    </w:rPr>
  </w:style>
  <w:style w:type="character" w:styleId="FootnoteReference">
    <w:name w:val="footnote reference"/>
    <w:basedOn w:val="DefaultParagraphFont"/>
    <w:uiPriority w:val="99"/>
    <w:semiHidden/>
    <w:unhideWhenUsed/>
    <w:rsid w:val="005E35C7"/>
    <w:rPr>
      <w:vertAlign w:val="superscript"/>
    </w:rPr>
  </w:style>
  <w:style w:type="character" w:styleId="FollowedHyperlink">
    <w:name w:val="FollowedHyperlink"/>
    <w:basedOn w:val="DefaultParagraphFont"/>
    <w:uiPriority w:val="99"/>
    <w:semiHidden/>
    <w:unhideWhenUsed/>
    <w:rsid w:val="005E3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btls.ca/teachingtips/varietyinassessmentmethods.html" TargetMode="External"/><Relationship Id="rId13" Type="http://schemas.openxmlformats.org/officeDocument/2006/relationships/hyperlink" Target="https://udlguidelines.cast.or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fctl.ucf.edu/teaching-resources/teaching-strategies/teaching-methods-overview/" TargetMode="External"/><Relationship Id="rId12" Type="http://schemas.openxmlformats.org/officeDocument/2006/relationships/hyperlink" Target="https://www.ualberta.ca/centre-for-teaching-and-learning/teaching-support/preparation/edi.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s.google.com/document/d/1QXOsiu5aDsbksadPpt0HqwNLXdLYfQayHa4miQ6PPpM/edit" TargetMode="External"/><Relationship Id="rId5" Type="http://schemas.openxmlformats.org/officeDocument/2006/relationships/endnotes" Target="endnotes.xml"/><Relationship Id="rId15" Type="http://schemas.openxmlformats.org/officeDocument/2006/relationships/hyperlink" Target="https://poorvucenter.yale.edu/sites/default/files/basic-page-supplementary-materials-files/inclusion_by_design_survey_your_syllabus_1.pdf" TargetMode="External"/><Relationship Id="rId10" Type="http://schemas.openxmlformats.org/officeDocument/2006/relationships/hyperlink" Target="https://libguides.usc.edu/ld.php?content_id=3908811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dlguidelines.cast.org/action-expression/expression-communication/use-multimedia" TargetMode="External"/><Relationship Id="rId14" Type="http://schemas.openxmlformats.org/officeDocument/2006/relationships/hyperlink" Target="https://taylorinstitute.ucalgary.ca/sites/default/files/Content/Resources/Online-Learning/Online-Course-Design-Checklis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alberta.ca/centre-for-teaching-and-learning/teaching-support/preparation/e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2021-07-22T14:25:00Z</dcterms:created>
  <dcterms:modified xsi:type="dcterms:W3CDTF">2021-07-22T14:25:00Z</dcterms:modified>
</cp:coreProperties>
</file>